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1F971" w14:textId="16E1C6E2" w:rsidR="009E13DB" w:rsidRPr="00BB14CE" w:rsidRDefault="00C158DD" w:rsidP="0049047F">
      <w:pPr>
        <w:pStyle w:val="Title"/>
        <w:jc w:val="center"/>
        <w:rPr>
          <w:rFonts w:ascii="Times New Roman" w:hAnsi="Times New Roman" w:cs="Times New Roman"/>
          <w:b/>
          <w:bCs/>
          <w:i/>
          <w:iCs/>
          <w:sz w:val="24"/>
          <w:szCs w:val="24"/>
        </w:rPr>
      </w:pPr>
      <w:r>
        <w:rPr>
          <w:rFonts w:ascii="Times New Roman" w:hAnsi="Times New Roman" w:cs="Times New Roman"/>
          <w:b/>
          <w:bCs/>
          <w:sz w:val="24"/>
          <w:szCs w:val="24"/>
        </w:rPr>
        <w:t>Books as Buddhas</w:t>
      </w:r>
      <w:r w:rsidR="009E13DB" w:rsidRPr="0049047F">
        <w:rPr>
          <w:rFonts w:ascii="Times New Roman" w:hAnsi="Times New Roman" w:cs="Times New Roman"/>
          <w:b/>
          <w:bCs/>
          <w:sz w:val="24"/>
          <w:szCs w:val="24"/>
        </w:rPr>
        <w:t xml:space="preserve">: </w:t>
      </w:r>
      <w:r w:rsidR="00764F34">
        <w:rPr>
          <w:rFonts w:ascii="Times New Roman" w:hAnsi="Times New Roman" w:cs="Times New Roman"/>
          <w:b/>
          <w:bCs/>
          <w:sz w:val="24"/>
          <w:szCs w:val="24"/>
        </w:rPr>
        <w:t>A Study</w:t>
      </w:r>
      <w:r w:rsidR="00E073AE">
        <w:rPr>
          <w:rFonts w:ascii="Times New Roman" w:hAnsi="Times New Roman" w:cs="Times New Roman"/>
          <w:b/>
          <w:bCs/>
          <w:sz w:val="24"/>
          <w:szCs w:val="24"/>
        </w:rPr>
        <w:t xml:space="preserve"> of the</w:t>
      </w:r>
      <w:r w:rsidR="00BB14CE">
        <w:rPr>
          <w:rFonts w:ascii="Times New Roman" w:hAnsi="Times New Roman" w:cs="Times New Roman"/>
          <w:b/>
          <w:bCs/>
          <w:sz w:val="24"/>
          <w:szCs w:val="24"/>
        </w:rPr>
        <w:t xml:space="preserve"> Fifth Dalai Lama’s </w:t>
      </w:r>
      <w:r w:rsidR="00BB14CE" w:rsidRPr="00BB14CE">
        <w:rPr>
          <w:rFonts w:ascii="Times New Roman" w:hAnsi="Times New Roman" w:cs="Times New Roman"/>
          <w:b/>
          <w:bCs/>
          <w:i/>
          <w:iCs/>
          <w:sz w:val="24"/>
          <w:szCs w:val="24"/>
        </w:rPr>
        <w:t>Wish-Fulfilling King</w:t>
      </w:r>
    </w:p>
    <w:p w14:paraId="039B2DEF" w14:textId="77777777" w:rsidR="009D47E1" w:rsidRDefault="009D47E1" w:rsidP="0049047F"/>
    <w:p w14:paraId="733DE10B" w14:textId="77777777" w:rsidR="009D47E1" w:rsidRDefault="009D47E1" w:rsidP="0049047F"/>
    <w:p w14:paraId="27EF5E2E" w14:textId="77777777" w:rsidR="009D47E1" w:rsidRDefault="009D47E1" w:rsidP="0049047F"/>
    <w:p w14:paraId="24FCD5DE" w14:textId="6E97990D" w:rsidR="009D47E1" w:rsidRDefault="00764F34" w:rsidP="00764F34">
      <w:pPr>
        <w:tabs>
          <w:tab w:val="left" w:pos="3691"/>
        </w:tabs>
      </w:pPr>
      <w:r>
        <w:tab/>
      </w:r>
    </w:p>
    <w:p w14:paraId="12A5603F" w14:textId="77777777" w:rsidR="009D47E1" w:rsidRDefault="009D47E1" w:rsidP="0049047F"/>
    <w:p w14:paraId="6D6A0602" w14:textId="77777777" w:rsidR="009D47E1" w:rsidRDefault="009D47E1" w:rsidP="0049047F"/>
    <w:p w14:paraId="1775729D" w14:textId="16F71EAD" w:rsidR="009D47E1" w:rsidRDefault="009D47E1" w:rsidP="0049047F">
      <w:pPr>
        <w:jc w:val="center"/>
      </w:pPr>
      <w:r>
        <w:t>A Dissertation Proposal</w:t>
      </w:r>
    </w:p>
    <w:p w14:paraId="0FBABC7E" w14:textId="21609589" w:rsidR="009D47E1" w:rsidRDefault="009D47E1" w:rsidP="0049047F">
      <w:pPr>
        <w:jc w:val="center"/>
      </w:pPr>
      <w:r>
        <w:t>Presented to the Joint Doctoral Committee of</w:t>
      </w:r>
    </w:p>
    <w:p w14:paraId="09DDDDE2" w14:textId="445022C1" w:rsidR="009D47E1" w:rsidRDefault="009D47E1" w:rsidP="0049047F">
      <w:pPr>
        <w:jc w:val="center"/>
      </w:pPr>
      <w:r>
        <w:t xml:space="preserve">The </w:t>
      </w:r>
      <w:r w:rsidR="00874496">
        <w:t>Iliff</w:t>
      </w:r>
      <w:r>
        <w:t xml:space="preserve"> Scho</w:t>
      </w:r>
      <w:r w:rsidR="00C52AC8">
        <w:t>o</w:t>
      </w:r>
      <w:r>
        <w:t>l of Theology and The University of Denver</w:t>
      </w:r>
    </w:p>
    <w:p w14:paraId="1F95CBBE" w14:textId="77777777" w:rsidR="009D47E1" w:rsidRDefault="009D47E1" w:rsidP="0049047F">
      <w:pPr>
        <w:jc w:val="center"/>
      </w:pPr>
    </w:p>
    <w:p w14:paraId="50B60B0B" w14:textId="77777777" w:rsidR="009D47E1" w:rsidRDefault="009D47E1" w:rsidP="0049047F">
      <w:pPr>
        <w:jc w:val="center"/>
      </w:pPr>
    </w:p>
    <w:p w14:paraId="72D288B9" w14:textId="77777777" w:rsidR="009D47E1" w:rsidRDefault="009D47E1" w:rsidP="0049047F">
      <w:pPr>
        <w:jc w:val="center"/>
      </w:pPr>
    </w:p>
    <w:p w14:paraId="11D41859" w14:textId="77777777" w:rsidR="009D47E1" w:rsidRDefault="009D47E1" w:rsidP="0049047F">
      <w:pPr>
        <w:jc w:val="center"/>
      </w:pPr>
    </w:p>
    <w:p w14:paraId="10B6BA9E" w14:textId="77777777" w:rsidR="009D47E1" w:rsidRDefault="009D47E1" w:rsidP="0049047F">
      <w:pPr>
        <w:jc w:val="center"/>
      </w:pPr>
    </w:p>
    <w:p w14:paraId="4D220049" w14:textId="11557593" w:rsidR="009D47E1" w:rsidRDefault="009D47E1" w:rsidP="0049047F">
      <w:pPr>
        <w:jc w:val="center"/>
      </w:pPr>
      <w:r>
        <w:t>In Partial Fulfillment of the Requirements</w:t>
      </w:r>
    </w:p>
    <w:p w14:paraId="2C71D5E6" w14:textId="77777777" w:rsidR="009D47E1" w:rsidRDefault="009D47E1" w:rsidP="0049047F">
      <w:pPr>
        <w:jc w:val="center"/>
      </w:pPr>
      <w:r>
        <w:t>for the Degree of Doctor of Philosophy</w:t>
      </w:r>
    </w:p>
    <w:p w14:paraId="2627A92E" w14:textId="77777777" w:rsidR="009D47E1" w:rsidRDefault="009D47E1" w:rsidP="0049047F">
      <w:pPr>
        <w:jc w:val="center"/>
      </w:pPr>
    </w:p>
    <w:p w14:paraId="5A920E45" w14:textId="77777777" w:rsidR="009D47E1" w:rsidRDefault="009D47E1" w:rsidP="0049047F">
      <w:pPr>
        <w:jc w:val="center"/>
      </w:pPr>
    </w:p>
    <w:p w14:paraId="303A4EA0" w14:textId="77777777" w:rsidR="009D47E1" w:rsidRDefault="009D47E1" w:rsidP="0049047F">
      <w:pPr>
        <w:jc w:val="center"/>
      </w:pPr>
    </w:p>
    <w:p w14:paraId="47E716A2" w14:textId="77777777" w:rsidR="009D47E1" w:rsidRDefault="009D47E1" w:rsidP="0049047F">
      <w:pPr>
        <w:jc w:val="center"/>
      </w:pPr>
    </w:p>
    <w:p w14:paraId="075C1BC6" w14:textId="77777777" w:rsidR="009D47E1" w:rsidRDefault="009D47E1" w:rsidP="0049047F">
      <w:pPr>
        <w:jc w:val="center"/>
      </w:pPr>
    </w:p>
    <w:p w14:paraId="73A22303" w14:textId="77777777" w:rsidR="009D47E1" w:rsidRDefault="009D47E1" w:rsidP="0049047F">
      <w:pPr>
        <w:jc w:val="center"/>
      </w:pPr>
    </w:p>
    <w:p w14:paraId="2E26311D" w14:textId="77777777" w:rsidR="009D47E1" w:rsidRDefault="009D47E1" w:rsidP="0049047F">
      <w:pPr>
        <w:jc w:val="center"/>
      </w:pPr>
    </w:p>
    <w:p w14:paraId="0A36E54E" w14:textId="77777777" w:rsidR="009D47E1" w:rsidRDefault="009D47E1" w:rsidP="0049047F">
      <w:pPr>
        <w:jc w:val="center"/>
      </w:pPr>
    </w:p>
    <w:p w14:paraId="7707848D" w14:textId="77777777" w:rsidR="009D47E1" w:rsidRDefault="009D47E1" w:rsidP="0049047F">
      <w:pPr>
        <w:jc w:val="center"/>
      </w:pPr>
    </w:p>
    <w:p w14:paraId="7674FD4C" w14:textId="77777777" w:rsidR="009D47E1" w:rsidRDefault="009D47E1" w:rsidP="0049047F">
      <w:pPr>
        <w:jc w:val="center"/>
      </w:pPr>
    </w:p>
    <w:p w14:paraId="012631FE" w14:textId="77777777" w:rsidR="009D47E1" w:rsidRDefault="009D47E1" w:rsidP="0049047F">
      <w:pPr>
        <w:jc w:val="center"/>
      </w:pPr>
    </w:p>
    <w:p w14:paraId="3158879C" w14:textId="77777777" w:rsidR="009D47E1" w:rsidRDefault="009D47E1" w:rsidP="0049047F">
      <w:pPr>
        <w:jc w:val="center"/>
      </w:pPr>
    </w:p>
    <w:p w14:paraId="2C573734" w14:textId="77777777" w:rsidR="009D47E1" w:rsidRDefault="009D47E1" w:rsidP="0049047F">
      <w:pPr>
        <w:jc w:val="center"/>
      </w:pPr>
      <w:r>
        <w:t>Submitted to:</w:t>
      </w:r>
    </w:p>
    <w:p w14:paraId="28ED8877" w14:textId="77777777" w:rsidR="009D47E1" w:rsidRDefault="009D47E1" w:rsidP="0049047F">
      <w:pPr>
        <w:jc w:val="center"/>
      </w:pPr>
    </w:p>
    <w:p w14:paraId="3B9912C3" w14:textId="168C42D9" w:rsidR="009D47E1" w:rsidRDefault="009D47E1" w:rsidP="0049047F">
      <w:pPr>
        <w:jc w:val="center"/>
      </w:pPr>
      <w:r>
        <w:t>Dr. Benjamin Nourse</w:t>
      </w:r>
    </w:p>
    <w:p w14:paraId="76655C26" w14:textId="1E0D4627" w:rsidR="00253379" w:rsidRDefault="00253379" w:rsidP="0049047F">
      <w:pPr>
        <w:jc w:val="center"/>
      </w:pPr>
      <w:r>
        <w:t>Dr. Sarah J. Magnatta</w:t>
      </w:r>
    </w:p>
    <w:p w14:paraId="7A7196A5" w14:textId="27D01FEC" w:rsidR="009D47E1" w:rsidRDefault="009D47E1" w:rsidP="0049047F">
      <w:pPr>
        <w:jc w:val="center"/>
      </w:pPr>
      <w:r>
        <w:t>Dr. Thomas Nail</w:t>
      </w:r>
    </w:p>
    <w:p w14:paraId="72AD2B54" w14:textId="77777777" w:rsidR="009D47E1" w:rsidRDefault="009D47E1" w:rsidP="0049047F">
      <w:pPr>
        <w:jc w:val="center"/>
      </w:pPr>
      <w:r>
        <w:t>Dr. Pam Eisenbaum</w:t>
      </w:r>
    </w:p>
    <w:p w14:paraId="78642B3A" w14:textId="77777777" w:rsidR="009D47E1" w:rsidRDefault="009D47E1" w:rsidP="0049047F">
      <w:pPr>
        <w:jc w:val="center"/>
      </w:pPr>
    </w:p>
    <w:p w14:paraId="35DB37B2" w14:textId="77777777" w:rsidR="009D47E1" w:rsidRDefault="009D47E1" w:rsidP="0049047F">
      <w:pPr>
        <w:jc w:val="center"/>
      </w:pPr>
    </w:p>
    <w:p w14:paraId="35F48999" w14:textId="77777777" w:rsidR="009D47E1" w:rsidRDefault="009D47E1" w:rsidP="0049047F">
      <w:pPr>
        <w:jc w:val="center"/>
      </w:pPr>
    </w:p>
    <w:p w14:paraId="014F7592" w14:textId="77777777" w:rsidR="009D47E1" w:rsidRDefault="009D47E1" w:rsidP="0049047F">
      <w:pPr>
        <w:jc w:val="center"/>
      </w:pPr>
    </w:p>
    <w:p w14:paraId="605E2459" w14:textId="77777777" w:rsidR="009D47E1" w:rsidRDefault="009D47E1" w:rsidP="0049047F">
      <w:pPr>
        <w:jc w:val="center"/>
      </w:pPr>
    </w:p>
    <w:p w14:paraId="16A56106" w14:textId="77777777" w:rsidR="009D47E1" w:rsidRDefault="009D47E1" w:rsidP="0049047F">
      <w:pPr>
        <w:jc w:val="center"/>
      </w:pPr>
      <w:r>
        <w:t>Submitted by:</w:t>
      </w:r>
    </w:p>
    <w:p w14:paraId="6187D754" w14:textId="77777777" w:rsidR="009D47E1" w:rsidRDefault="009D47E1" w:rsidP="0049047F">
      <w:pPr>
        <w:jc w:val="center"/>
      </w:pPr>
    </w:p>
    <w:p w14:paraId="335C9B8A" w14:textId="1DED4C63" w:rsidR="009D47E1" w:rsidRDefault="009D47E1" w:rsidP="0049047F">
      <w:pPr>
        <w:jc w:val="center"/>
      </w:pPr>
      <w:r>
        <w:t>Jack Hamblin</w:t>
      </w:r>
    </w:p>
    <w:p w14:paraId="4FD01C64" w14:textId="6832CEB8" w:rsidR="00C158DD" w:rsidRDefault="009D47E1" w:rsidP="00576540">
      <w:pPr>
        <w:jc w:val="center"/>
      </w:pPr>
      <w:r>
        <w:t>Joint PhD Program in the Study of Religion</w:t>
      </w:r>
    </w:p>
    <w:p w14:paraId="6E866ECC" w14:textId="77777777" w:rsidR="009B3EA8" w:rsidRPr="00BC19E4" w:rsidRDefault="009B3EA8" w:rsidP="00BC19E4"/>
    <w:p w14:paraId="60182E91" w14:textId="57D14D4D" w:rsidR="00C158DD" w:rsidRDefault="00032AB8" w:rsidP="00032AB8">
      <w:pPr>
        <w:pStyle w:val="Heading2"/>
      </w:pPr>
      <w:r w:rsidRPr="00032AB8">
        <w:lastRenderedPageBreak/>
        <w:t>1.</w:t>
      </w:r>
      <w:r>
        <w:t xml:space="preserve"> </w:t>
      </w:r>
      <w:r w:rsidR="00C158DD">
        <w:t xml:space="preserve">Brief Description </w:t>
      </w:r>
    </w:p>
    <w:p w14:paraId="0352254C" w14:textId="78FB5F9D" w:rsidR="00032AB8" w:rsidRDefault="00032AB8" w:rsidP="00032AB8"/>
    <w:p w14:paraId="1ABF6CC2" w14:textId="06C0405F" w:rsidR="00C158DD" w:rsidRDefault="00AB6085" w:rsidP="00EE7BAA">
      <w:pPr>
        <w:spacing w:line="480" w:lineRule="auto"/>
        <w:ind w:firstLine="720"/>
      </w:pPr>
      <w:r>
        <w:t xml:space="preserve">This dissertation </w:t>
      </w:r>
      <w:r w:rsidR="004E4B92">
        <w:t>takes</w:t>
      </w:r>
      <w:r>
        <w:t xml:space="preserve"> a visually compelling example of treating a book as a buddha and trac</w:t>
      </w:r>
      <w:r w:rsidR="004E4B92">
        <w:t xml:space="preserve">es </w:t>
      </w:r>
      <w:r>
        <w:t>its origin through that of a</w:t>
      </w:r>
      <w:r w:rsidR="008109FE">
        <w:t xml:space="preserve">n individual work </w:t>
      </w:r>
      <w:r>
        <w:t xml:space="preserve">in order to draw broader conclusions about the nature of books in Buddhism. </w:t>
      </w:r>
      <w:r w:rsidR="00137AF0">
        <w:t xml:space="preserve">The </w:t>
      </w:r>
      <w:r w:rsidR="004E4B92">
        <w:t>unique approach</w:t>
      </w:r>
      <w:r w:rsidR="00137AF0">
        <w:t xml:space="preserve"> </w:t>
      </w:r>
      <w:r w:rsidR="00723743">
        <w:t>corrects</w:t>
      </w:r>
      <w:r w:rsidR="00137AF0">
        <w:t xml:space="preserve"> a </w:t>
      </w:r>
      <w:r w:rsidR="00ED48DA">
        <w:t>prominent</w:t>
      </w:r>
      <w:r w:rsidR="00137AF0">
        <w:t xml:space="preserve"> misreading of these compelling </w:t>
      </w:r>
      <w:r w:rsidR="00ED48DA">
        <w:t>images</w:t>
      </w:r>
      <w:r w:rsidR="00137AF0">
        <w:t xml:space="preserve">, opens a </w:t>
      </w:r>
      <w:r>
        <w:t xml:space="preserve">new </w:t>
      </w:r>
      <w:r w:rsidR="008D23AE">
        <w:t>textual, visual, and ritual</w:t>
      </w:r>
      <w:r>
        <w:t xml:space="preserve"> tradition from which to appreciate </w:t>
      </w:r>
      <w:r w:rsidR="00ED48DA">
        <w:t>Buddhist book culture,</w:t>
      </w:r>
      <w:r w:rsidR="00137AF0">
        <w:t xml:space="preserve"> and demonstrates how </w:t>
      </w:r>
      <w:r w:rsidR="00723743">
        <w:t xml:space="preserve">the </w:t>
      </w:r>
      <w:r w:rsidR="008D23AE">
        <w:t>textual, visual, and ritual</w:t>
      </w:r>
      <w:r w:rsidR="00137AF0">
        <w:t xml:space="preserve"> dimensions come together </w:t>
      </w:r>
      <w:r w:rsidR="00ED48DA">
        <w:t>in this</w:t>
      </w:r>
      <w:r w:rsidR="004E4B92">
        <w:t xml:space="preserve"> </w:t>
      </w:r>
      <w:r w:rsidR="00ED48DA">
        <w:t xml:space="preserve">tradition </w:t>
      </w:r>
      <w:r w:rsidR="00137AF0">
        <w:t>to express the possibility of</w:t>
      </w:r>
      <w:r w:rsidR="00E04F5C">
        <w:t xml:space="preserve"> </w:t>
      </w:r>
      <w:r w:rsidR="00ED48DA">
        <w:t>book</w:t>
      </w:r>
      <w:r w:rsidR="002F6584">
        <w:t xml:space="preserve">s being </w:t>
      </w:r>
      <w:r w:rsidR="00ED48DA">
        <w:t>buddha</w:t>
      </w:r>
      <w:r w:rsidR="002F6584">
        <w:t>s</w:t>
      </w:r>
      <w:r w:rsidR="00ED48DA">
        <w:t xml:space="preserve">. </w:t>
      </w:r>
      <w:r w:rsidR="00137AF0">
        <w:t xml:space="preserve">  </w:t>
      </w:r>
    </w:p>
    <w:p w14:paraId="3CBC2086" w14:textId="51C239A6" w:rsidR="00C158DD" w:rsidRDefault="00C158DD" w:rsidP="00C158DD">
      <w:pPr>
        <w:pStyle w:val="Heading2"/>
      </w:pPr>
      <w:r>
        <w:t>2. Thesis</w:t>
      </w:r>
      <w:r w:rsidRPr="00DF2EDA">
        <w:t xml:space="preserve"> and </w:t>
      </w:r>
      <w:r>
        <w:t xml:space="preserve">Scope </w:t>
      </w:r>
    </w:p>
    <w:p w14:paraId="232A75F7" w14:textId="2EFC4459" w:rsidR="00032AB8" w:rsidRDefault="00032AB8" w:rsidP="00032AB8"/>
    <w:p w14:paraId="4BF4A8D1" w14:textId="3B7A30D4" w:rsidR="00BB4E64" w:rsidRDefault="00D05372" w:rsidP="00BB4E64">
      <w:pPr>
        <w:spacing w:line="480" w:lineRule="auto"/>
        <w:ind w:firstLine="720"/>
        <w:contextualSpacing/>
      </w:pPr>
      <w:r w:rsidRPr="00D05372">
        <w:t>A common arrangement for a mandala</w:t>
      </w:r>
      <w:r w:rsidR="00B62FDD" w:rsidRPr="00D05372">
        <w:t xml:space="preserve"> </w:t>
      </w:r>
      <w:r w:rsidRPr="00D05372">
        <w:t>incorporates</w:t>
      </w:r>
      <w:r w:rsidR="00B62FDD" w:rsidRPr="00D05372">
        <w:t xml:space="preserve"> </w:t>
      </w:r>
      <w:r w:rsidR="001C0F94" w:rsidRPr="00D05372">
        <w:t>a primary deity at the mandala’s center surrounded by a retinue of others</w:t>
      </w:r>
      <w:r w:rsidR="001C0F94">
        <w:t xml:space="preserve">. An especially interesting </w:t>
      </w:r>
      <w:r w:rsidR="00ED3327">
        <w:t xml:space="preserve">eighteenth-century </w:t>
      </w:r>
      <w:r w:rsidR="00AC6A07">
        <w:t xml:space="preserve">Medicine Buddha </w:t>
      </w:r>
      <w:r w:rsidR="00405F80">
        <w:t>m</w:t>
      </w:r>
      <w:r w:rsidR="00AC6A07">
        <w:t>andala (sangs rgyas sman bla dkyil ‘khor)</w:t>
      </w:r>
      <w:r w:rsidR="00BB4E64">
        <w:t xml:space="preserve"> </w:t>
      </w:r>
      <w:r w:rsidR="001C0F94">
        <w:t xml:space="preserve">from </w:t>
      </w:r>
      <w:r w:rsidR="00ED3327">
        <w:t xml:space="preserve">China </w:t>
      </w:r>
      <w:r w:rsidR="001C0F94">
        <w:t xml:space="preserve">keeps the retinue of other deities but replaces the </w:t>
      </w:r>
      <w:r w:rsidR="00146E73">
        <w:t xml:space="preserve">primary figural Medicine Buddha </w:t>
      </w:r>
      <w:r w:rsidR="00E745FD">
        <w:t xml:space="preserve">(San. </w:t>
      </w:r>
      <w:r w:rsidR="00E745FD" w:rsidRPr="00CF4DDF">
        <w:t>Bhaiṣajyaguru</w:t>
      </w:r>
      <w:r w:rsidR="00E745FD">
        <w:t xml:space="preserve">, Tib. </w:t>
      </w:r>
      <w:r w:rsidR="00E745FD" w:rsidRPr="00CF4DDF">
        <w:t>sman bla</w:t>
      </w:r>
      <w:r w:rsidR="00E745FD">
        <w:t xml:space="preserve">) </w:t>
      </w:r>
      <w:r w:rsidR="00146E73">
        <w:t>at the center</w:t>
      </w:r>
      <w:r w:rsidR="001C0F94">
        <w:t xml:space="preserve"> with a book (Figure</w:t>
      </w:r>
      <w:r w:rsidR="00A31B59">
        <w:t>s</w:t>
      </w:r>
      <w:r w:rsidR="001C0F94">
        <w:t xml:space="preserve"> 1</w:t>
      </w:r>
      <w:r w:rsidR="00A31B59">
        <w:t xml:space="preserve"> and 2</w:t>
      </w:r>
      <w:r w:rsidR="001C0F94">
        <w:t>).</w:t>
      </w:r>
      <w:r w:rsidR="00D110C3">
        <w:rPr>
          <w:rStyle w:val="FootnoteReference"/>
        </w:rPr>
        <w:footnoteReference w:id="1"/>
      </w:r>
      <w:r w:rsidR="001C0F94">
        <w:t xml:space="preserve"> In effect, the mandala is a visually </w:t>
      </w:r>
      <w:r w:rsidR="00110C42">
        <w:t>compelling</w:t>
      </w:r>
      <w:r w:rsidR="001C0F94">
        <w:t xml:space="preserve"> suggestion that a book can be considered a </w:t>
      </w:r>
      <w:r w:rsidR="005729F7">
        <w:t>buddha</w:t>
      </w:r>
      <w:r w:rsidR="001C0F94">
        <w:t>. This</w:t>
      </w:r>
      <w:r w:rsidR="00AC6A07">
        <w:t xml:space="preserve"> </w:t>
      </w:r>
      <w:r w:rsidR="00A31B59">
        <w:t xml:space="preserve">particular mandala has received no attention in the scholarship, and the leading theory on </w:t>
      </w:r>
      <w:r w:rsidR="006463C8">
        <w:t xml:space="preserve">Medicine Buddha mandalas with </w:t>
      </w:r>
      <w:r w:rsidR="00652D95">
        <w:t xml:space="preserve">texts </w:t>
      </w:r>
      <w:r w:rsidR="000C76D2">
        <w:t>claim</w:t>
      </w:r>
      <w:r w:rsidR="006463C8">
        <w:t>s</w:t>
      </w:r>
      <w:r w:rsidR="00B72782">
        <w:t xml:space="preserve"> that</w:t>
      </w:r>
      <w:r w:rsidR="000C76D2">
        <w:t xml:space="preserve"> </w:t>
      </w:r>
      <w:r w:rsidR="006463C8">
        <w:t xml:space="preserve">the </w:t>
      </w:r>
      <w:r w:rsidR="00652D95">
        <w:t>book</w:t>
      </w:r>
      <w:r w:rsidR="006463C8">
        <w:t xml:space="preserve"> is </w:t>
      </w:r>
      <w:r w:rsidR="000C76D2">
        <w:t>a volume of the Perfection of Wisdom (</w:t>
      </w:r>
      <w:r w:rsidR="000C76D2" w:rsidRPr="00670503">
        <w:rPr>
          <w:i/>
          <w:iCs/>
        </w:rPr>
        <w:t>prajñāpāramita</w:t>
      </w:r>
      <w:r w:rsidR="000C76D2">
        <w:t>)</w:t>
      </w:r>
      <w:r w:rsidR="006463C8">
        <w:t xml:space="preserve">. </w:t>
      </w:r>
      <w:r w:rsidR="00AC6A07">
        <w:t>My</w:t>
      </w:r>
      <w:r w:rsidR="000A020F">
        <w:t xml:space="preserve"> dissertation disrupts th</w:t>
      </w:r>
      <w:r w:rsidR="002C6617">
        <w:t xml:space="preserve">is </w:t>
      </w:r>
      <w:r w:rsidR="000A020F">
        <w:t>reading</w:t>
      </w:r>
      <w:r w:rsidR="00FA5955">
        <w:t xml:space="preserve"> and</w:t>
      </w:r>
      <w:r w:rsidR="000A020F">
        <w:t xml:space="preserve"> provid</w:t>
      </w:r>
      <w:r w:rsidR="00FA5955">
        <w:t>es</w:t>
      </w:r>
      <w:r w:rsidR="000A020F">
        <w:t xml:space="preserve"> a new one based on </w:t>
      </w:r>
      <w:r w:rsidR="00032AB8" w:rsidRPr="00AC0082">
        <w:rPr>
          <w:i/>
          <w:iCs/>
        </w:rPr>
        <w:t>The Wish</w:t>
      </w:r>
      <w:r w:rsidR="00032AB8">
        <w:rPr>
          <w:i/>
          <w:iCs/>
        </w:rPr>
        <w:t>-</w:t>
      </w:r>
      <w:r w:rsidR="00032AB8" w:rsidRPr="00AC0082">
        <w:rPr>
          <w:i/>
          <w:iCs/>
        </w:rPr>
        <w:t>Fulfilling King</w:t>
      </w:r>
      <w:r w:rsidR="00032AB8">
        <w:t xml:space="preserve">: </w:t>
      </w:r>
      <w:r w:rsidR="00032AB8" w:rsidRPr="005E02B7">
        <w:rPr>
          <w:i/>
          <w:iCs/>
        </w:rPr>
        <w:t xml:space="preserve">An Arrangement of a Ritual for the </w:t>
      </w:r>
      <w:r w:rsidR="00032AB8">
        <w:rPr>
          <w:i/>
          <w:iCs/>
        </w:rPr>
        <w:t>Veneration</w:t>
      </w:r>
      <w:r w:rsidR="00032AB8" w:rsidRPr="005E02B7">
        <w:rPr>
          <w:i/>
          <w:iCs/>
        </w:rPr>
        <w:t xml:space="preserve"> of the Seven Sugatas</w:t>
      </w:r>
      <w:r w:rsidR="00032AB8">
        <w:t xml:space="preserve"> (</w:t>
      </w:r>
      <w:r w:rsidR="00032AB8" w:rsidRPr="002E0EBF">
        <w:rPr>
          <w:i/>
          <w:iCs/>
        </w:rPr>
        <w:t>bde gshegs bdun gyi mchod pa’i chog bsgrigs yid bzhin bdang rgyal</w:t>
      </w:r>
      <w:r w:rsidR="00032AB8">
        <w:t xml:space="preserve">), a ritual manual for the veneration of the seven buddhas of healing, composed in </w:t>
      </w:r>
      <w:r w:rsidR="00032AB8">
        <w:lastRenderedPageBreak/>
        <w:t xml:space="preserve">1673 by the Fifth Dalai Lama, Ngawang Lopsang Gyatso (ngag dbang blo bzang rgya mtsho, </w:t>
      </w:r>
      <w:r w:rsidR="002275FA">
        <w:rPr>
          <w:noProof/>
        </w:rPr>
        <w:drawing>
          <wp:anchor distT="0" distB="0" distL="114300" distR="114300" simplePos="0" relativeHeight="251658240" behindDoc="0" locked="0" layoutInCell="1" allowOverlap="1" wp14:anchorId="4A48EE31" wp14:editId="7BB433EA">
            <wp:simplePos x="0" y="0"/>
            <wp:positionH relativeFrom="margin">
              <wp:align>center</wp:align>
            </wp:positionH>
            <wp:positionV relativeFrom="paragraph">
              <wp:posOffset>745933</wp:posOffset>
            </wp:positionV>
            <wp:extent cx="4331335" cy="6416675"/>
            <wp:effectExtent l="0" t="0" r="0" b="0"/>
            <wp:wrapTopAndBottom/>
            <wp:docPr id="4" name="Picture 4" descr="A picture containing text, furniture, ru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cine Buddha Manda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1335" cy="6416675"/>
                    </a:xfrm>
                    <a:prstGeom prst="rect">
                      <a:avLst/>
                    </a:prstGeom>
                  </pic:spPr>
                </pic:pic>
              </a:graphicData>
            </a:graphic>
            <wp14:sizeRelH relativeFrom="page">
              <wp14:pctWidth>0</wp14:pctWidth>
            </wp14:sizeRelH>
            <wp14:sizeRelV relativeFrom="page">
              <wp14:pctHeight>0</wp14:pctHeight>
            </wp14:sizeRelV>
          </wp:anchor>
        </w:drawing>
      </w:r>
      <w:r w:rsidR="00032AB8">
        <w:t>1617-1682)</w:t>
      </w:r>
      <w:r w:rsidR="009A1D85">
        <w:t>.</w:t>
      </w:r>
    </w:p>
    <w:p w14:paraId="7F9A0719" w14:textId="0E3F0B3F" w:rsidR="00BB4E64" w:rsidRDefault="00BB4E64" w:rsidP="00BB4E64">
      <w:pPr>
        <w:contextualSpacing/>
        <w:rPr>
          <w:sz w:val="22"/>
          <w:szCs w:val="22"/>
        </w:rPr>
      </w:pPr>
    </w:p>
    <w:p w14:paraId="2911E1C2" w14:textId="4A333F81" w:rsidR="00BB4E64" w:rsidRPr="00D05372" w:rsidRDefault="00BB4E64" w:rsidP="00BB4E64">
      <w:pPr>
        <w:contextualSpacing/>
      </w:pPr>
      <w:r w:rsidRPr="00B62FDD">
        <w:rPr>
          <w:sz w:val="22"/>
          <w:szCs w:val="22"/>
        </w:rPr>
        <w:t>Figure 1. 18th century Geluk thangka from China. Image courtesy of Himalayan Art Resources (HAR).</w:t>
      </w:r>
    </w:p>
    <w:p w14:paraId="036EA100" w14:textId="46CBEDE6" w:rsidR="00D05372" w:rsidRDefault="00D05372" w:rsidP="00D05372">
      <w:pPr>
        <w:contextualSpacing/>
        <w:rPr>
          <w:sz w:val="22"/>
          <w:szCs w:val="22"/>
        </w:rPr>
      </w:pPr>
    </w:p>
    <w:p w14:paraId="18727556" w14:textId="7A0C237A" w:rsidR="002275FA" w:rsidRDefault="002275FA" w:rsidP="00D05372">
      <w:pPr>
        <w:contextualSpacing/>
        <w:rPr>
          <w:sz w:val="22"/>
          <w:szCs w:val="22"/>
        </w:rPr>
      </w:pPr>
    </w:p>
    <w:p w14:paraId="3EBA0B36" w14:textId="024CF541" w:rsidR="002275FA" w:rsidRDefault="002275FA" w:rsidP="00D05372">
      <w:pPr>
        <w:contextualSpacing/>
        <w:rPr>
          <w:sz w:val="22"/>
          <w:szCs w:val="22"/>
        </w:rPr>
      </w:pPr>
    </w:p>
    <w:p w14:paraId="5D6981E6" w14:textId="33A932BE" w:rsidR="002275FA" w:rsidRDefault="002275FA" w:rsidP="00D05372">
      <w:pPr>
        <w:contextualSpacing/>
        <w:rPr>
          <w:sz w:val="22"/>
          <w:szCs w:val="22"/>
        </w:rPr>
      </w:pPr>
    </w:p>
    <w:p w14:paraId="7D0C79DD" w14:textId="77777777" w:rsidR="002275FA" w:rsidRDefault="002275FA" w:rsidP="00D05372">
      <w:pPr>
        <w:contextualSpacing/>
        <w:rPr>
          <w:sz w:val="22"/>
          <w:szCs w:val="22"/>
        </w:rPr>
      </w:pPr>
    </w:p>
    <w:p w14:paraId="19E5C837" w14:textId="2862981E" w:rsidR="00BB4E64" w:rsidRDefault="00BB4E64" w:rsidP="00BB4E64">
      <w:pPr>
        <w:jc w:val="center"/>
        <w:rPr>
          <w:sz w:val="22"/>
          <w:szCs w:val="22"/>
        </w:rPr>
      </w:pPr>
      <w:r w:rsidRPr="00A31B59">
        <w:rPr>
          <w:noProof/>
          <w:sz w:val="22"/>
          <w:szCs w:val="22"/>
        </w:rPr>
        <w:drawing>
          <wp:anchor distT="0" distB="0" distL="114300" distR="114300" simplePos="0" relativeHeight="251659264" behindDoc="0" locked="0" layoutInCell="1" allowOverlap="1" wp14:anchorId="7299DF7C" wp14:editId="62AC0121">
            <wp:simplePos x="0" y="0"/>
            <wp:positionH relativeFrom="margin">
              <wp:align>center</wp:align>
            </wp:positionH>
            <wp:positionV relativeFrom="paragraph">
              <wp:posOffset>237</wp:posOffset>
            </wp:positionV>
            <wp:extent cx="3785235" cy="3887470"/>
            <wp:effectExtent l="0" t="0" r="0" b="0"/>
            <wp:wrapTopAndBottom/>
            <wp:docPr id="2" name="Picture 2" descr="A picture containing text, indoor, furnitur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cine Buddha Mandala detail.jpg"/>
                    <pic:cNvPicPr/>
                  </pic:nvPicPr>
                  <pic:blipFill>
                    <a:blip r:embed="rId9">
                      <a:extLst>
                        <a:ext uri="{28A0092B-C50C-407E-A947-70E740481C1C}">
                          <a14:useLocalDpi xmlns:a14="http://schemas.microsoft.com/office/drawing/2010/main" val="0"/>
                        </a:ext>
                      </a:extLst>
                    </a:blip>
                    <a:stretch>
                      <a:fillRect/>
                    </a:stretch>
                  </pic:blipFill>
                  <pic:spPr>
                    <a:xfrm>
                      <a:off x="0" y="0"/>
                      <a:ext cx="3785235" cy="3887470"/>
                    </a:xfrm>
                    <a:prstGeom prst="rect">
                      <a:avLst/>
                    </a:prstGeom>
                  </pic:spPr>
                </pic:pic>
              </a:graphicData>
            </a:graphic>
            <wp14:sizeRelH relativeFrom="page">
              <wp14:pctWidth>0</wp14:pctWidth>
            </wp14:sizeRelH>
            <wp14:sizeRelV relativeFrom="page">
              <wp14:pctHeight>0</wp14:pctHeight>
            </wp14:sizeRelV>
          </wp:anchor>
        </w:drawing>
      </w:r>
    </w:p>
    <w:p w14:paraId="0EC3CBB3" w14:textId="02016DC3" w:rsidR="00BB4E64" w:rsidRDefault="00BB4E64" w:rsidP="004425B3">
      <w:pPr>
        <w:jc w:val="center"/>
        <w:rPr>
          <w:sz w:val="22"/>
          <w:szCs w:val="22"/>
        </w:rPr>
      </w:pPr>
    </w:p>
    <w:p w14:paraId="305A4E59" w14:textId="77777777" w:rsidR="00BB4E64" w:rsidRPr="004425B3" w:rsidRDefault="00BB4E64" w:rsidP="002275FA">
      <w:pPr>
        <w:jc w:val="center"/>
        <w:rPr>
          <w:sz w:val="22"/>
          <w:szCs w:val="22"/>
        </w:rPr>
      </w:pPr>
      <w:r w:rsidRPr="004425B3">
        <w:rPr>
          <w:sz w:val="22"/>
          <w:szCs w:val="22"/>
        </w:rPr>
        <w:t>Figure 2. Detail of the text in Figure 1. Image courtesy of HAR.</w:t>
      </w:r>
    </w:p>
    <w:p w14:paraId="4BDB6795" w14:textId="0B227D4F" w:rsidR="00A31B59" w:rsidRDefault="00A31B59" w:rsidP="00BB4E64">
      <w:pPr>
        <w:spacing w:line="480" w:lineRule="auto"/>
        <w:rPr>
          <w:sz w:val="22"/>
          <w:szCs w:val="22"/>
        </w:rPr>
      </w:pPr>
    </w:p>
    <w:p w14:paraId="020F922A" w14:textId="7DDCD835" w:rsidR="00A31B59" w:rsidRDefault="00032AB8" w:rsidP="004425B3">
      <w:pPr>
        <w:spacing w:line="480" w:lineRule="auto"/>
        <w:ind w:firstLine="720"/>
      </w:pPr>
      <w:r w:rsidRPr="00DC13CF">
        <w:rPr>
          <w:i/>
          <w:iCs/>
        </w:rPr>
        <w:t>The</w:t>
      </w:r>
      <w:r>
        <w:t xml:space="preserve"> </w:t>
      </w:r>
      <w:r w:rsidRPr="00973806">
        <w:rPr>
          <w:i/>
          <w:iCs/>
        </w:rPr>
        <w:t>Wish</w:t>
      </w:r>
      <w:r>
        <w:rPr>
          <w:i/>
          <w:iCs/>
        </w:rPr>
        <w:t>-</w:t>
      </w:r>
      <w:r w:rsidRPr="00973806">
        <w:rPr>
          <w:i/>
          <w:iCs/>
        </w:rPr>
        <w:t>Fulfilling King</w:t>
      </w:r>
      <w:r>
        <w:t xml:space="preserve"> </w:t>
      </w:r>
      <w:r w:rsidR="00CA6DCA">
        <w:t>(</w:t>
      </w:r>
      <w:r w:rsidR="00CA6DCA" w:rsidRPr="002E0EBF">
        <w:rPr>
          <w:i/>
          <w:iCs/>
        </w:rPr>
        <w:t>yid bzhin bdang rgyal</w:t>
      </w:r>
      <w:r w:rsidR="00CA6DCA">
        <w:t>) e</w:t>
      </w:r>
      <w:r>
        <w:t xml:space="preserve">laborates a ritual </w:t>
      </w:r>
      <w:r w:rsidR="00A32DC0">
        <w:t xml:space="preserve">based on </w:t>
      </w:r>
      <w:r>
        <w:t>a sūtra</w:t>
      </w:r>
      <w:r w:rsidR="00A32DC0">
        <w:t xml:space="preserve"> found in the Tibetan Kangyur (</w:t>
      </w:r>
      <w:r w:rsidR="00A32DC0" w:rsidRPr="00C03226">
        <w:rPr>
          <w:i/>
          <w:iCs/>
        </w:rPr>
        <w:t>bka’ ‘gyur</w:t>
      </w:r>
      <w:r w:rsidR="00A32DC0">
        <w:t xml:space="preserve">) </w:t>
      </w:r>
      <w:r w:rsidR="007D11C0">
        <w:t xml:space="preserve">titled </w:t>
      </w:r>
      <w:r w:rsidR="007D11C0" w:rsidRPr="00AC0082">
        <w:rPr>
          <w:i/>
          <w:iCs/>
        </w:rPr>
        <w:t>The Detailed Account of the Previous Aspirations of the Seven</w:t>
      </w:r>
      <w:r w:rsidR="007D11C0">
        <w:rPr>
          <w:i/>
          <w:iCs/>
        </w:rPr>
        <w:t xml:space="preserve"> Tathāgatas </w:t>
      </w:r>
      <w:r w:rsidR="007D11C0">
        <w:t>(</w:t>
      </w:r>
      <w:r w:rsidR="007D11C0" w:rsidRPr="00286A65">
        <w:rPr>
          <w:i/>
          <w:iCs/>
        </w:rPr>
        <w:t>de bzhin gshegs pa bdun gyi sngon gyi smon lam gyi khyad par rgyas pa</w:t>
      </w:r>
      <w:r w:rsidR="007D11C0">
        <w:t xml:space="preserve">; hereafter the </w:t>
      </w:r>
      <w:r w:rsidR="007D11C0" w:rsidRPr="00670503">
        <w:rPr>
          <w:i/>
          <w:iCs/>
        </w:rPr>
        <w:t xml:space="preserve">Seven Tathāgatas </w:t>
      </w:r>
      <w:r w:rsidR="007D11C0">
        <w:rPr>
          <w:i/>
          <w:iCs/>
        </w:rPr>
        <w:t>S</w:t>
      </w:r>
      <w:r w:rsidR="007D11C0" w:rsidRPr="00670503">
        <w:rPr>
          <w:i/>
          <w:iCs/>
        </w:rPr>
        <w:t>ūtra</w:t>
      </w:r>
      <w:r w:rsidR="007D11C0">
        <w:t xml:space="preserve">). In its last section, </w:t>
      </w:r>
      <w:r w:rsidR="007D11C0" w:rsidRPr="00876357">
        <w:rPr>
          <w:i/>
          <w:iCs/>
        </w:rPr>
        <w:t>The</w:t>
      </w:r>
      <w:r w:rsidR="007D11C0">
        <w:t xml:space="preserve"> </w:t>
      </w:r>
      <w:r w:rsidR="007D11C0" w:rsidRPr="00973806">
        <w:rPr>
          <w:i/>
          <w:iCs/>
        </w:rPr>
        <w:t>Wish</w:t>
      </w:r>
      <w:r w:rsidR="007D11C0">
        <w:rPr>
          <w:i/>
          <w:iCs/>
        </w:rPr>
        <w:t>-</w:t>
      </w:r>
      <w:r w:rsidR="007D11C0" w:rsidRPr="00973806">
        <w:rPr>
          <w:i/>
          <w:iCs/>
        </w:rPr>
        <w:t>Fulfilling King</w:t>
      </w:r>
      <w:r w:rsidR="007D11C0">
        <w:t xml:space="preserve"> invites practitioners to place the </w:t>
      </w:r>
      <w:r w:rsidR="007D11C0" w:rsidRPr="00670503">
        <w:rPr>
          <w:i/>
          <w:iCs/>
        </w:rPr>
        <w:t xml:space="preserve">Seven Tathāgatas </w:t>
      </w:r>
      <w:r w:rsidR="007D11C0">
        <w:rPr>
          <w:i/>
          <w:iCs/>
        </w:rPr>
        <w:t>S</w:t>
      </w:r>
      <w:r w:rsidR="007D11C0" w:rsidRPr="00670503">
        <w:rPr>
          <w:i/>
          <w:iCs/>
        </w:rPr>
        <w:t>ūtra</w:t>
      </w:r>
      <w:r w:rsidR="007D11C0">
        <w:t xml:space="preserve"> at the center of the </w:t>
      </w:r>
      <w:r w:rsidR="005672C7">
        <w:t xml:space="preserve">Medicine Buddha </w:t>
      </w:r>
      <w:r w:rsidR="006463C8">
        <w:t>m</w:t>
      </w:r>
      <w:r w:rsidR="007D11C0">
        <w:t xml:space="preserve">andala being constructed for </w:t>
      </w:r>
      <w:r w:rsidR="00ED3327">
        <w:t>that</w:t>
      </w:r>
      <w:r w:rsidR="007D11C0">
        <w:t xml:space="preserve"> ritual</w:t>
      </w:r>
      <w:r w:rsidR="005672C7">
        <w:t>. Although it</w:t>
      </w:r>
      <w:r w:rsidR="007D11C0">
        <w:t xml:space="preserve"> is currently unclear if this </w:t>
      </w:r>
      <w:r w:rsidR="00D05372">
        <w:t>invitation</w:t>
      </w:r>
      <w:r w:rsidR="007D11C0">
        <w:t xml:space="preserve"> was the Fifth Dalai Lama’s innovation</w:t>
      </w:r>
      <w:r w:rsidR="005672C7">
        <w:t xml:space="preserve">, the </w:t>
      </w:r>
      <w:r w:rsidR="007D11C0">
        <w:t xml:space="preserve">Dalai Lama’s text plainly identifies the book as a volume of the </w:t>
      </w:r>
      <w:r w:rsidR="007D11C0" w:rsidRPr="00670503">
        <w:rPr>
          <w:i/>
          <w:iCs/>
        </w:rPr>
        <w:t xml:space="preserve">Seven Tathāgatas </w:t>
      </w:r>
      <w:r w:rsidR="007D11C0">
        <w:rPr>
          <w:i/>
          <w:iCs/>
        </w:rPr>
        <w:t>S</w:t>
      </w:r>
      <w:r w:rsidR="007D11C0" w:rsidRPr="00670503">
        <w:rPr>
          <w:i/>
          <w:iCs/>
        </w:rPr>
        <w:t>ūtra</w:t>
      </w:r>
      <w:r w:rsidR="005672C7">
        <w:t xml:space="preserve">. </w:t>
      </w:r>
      <w:r w:rsidR="00C82490">
        <w:t>Once the</w:t>
      </w:r>
      <w:r w:rsidR="005672C7">
        <w:t xml:space="preserve"> Dalai Lama’s text </w:t>
      </w:r>
      <w:r w:rsidR="004A3938">
        <w:t xml:space="preserve">is </w:t>
      </w:r>
      <w:r w:rsidR="008179C5">
        <w:t>considered</w:t>
      </w:r>
      <w:r w:rsidR="005672C7">
        <w:t xml:space="preserve">, </w:t>
      </w:r>
      <w:r w:rsidR="00B72782">
        <w:t xml:space="preserve">it becomes more likely that the </w:t>
      </w:r>
      <w:r w:rsidR="00B72782" w:rsidRPr="00670503">
        <w:rPr>
          <w:i/>
          <w:iCs/>
        </w:rPr>
        <w:t xml:space="preserve">Seven Tathāgatas </w:t>
      </w:r>
      <w:r w:rsidR="00B72782">
        <w:rPr>
          <w:i/>
          <w:iCs/>
        </w:rPr>
        <w:t>Sūtra</w:t>
      </w:r>
      <w:r w:rsidR="0003352A">
        <w:t xml:space="preserve">, </w:t>
      </w:r>
      <w:r w:rsidR="009F00A8">
        <w:t xml:space="preserve">and </w:t>
      </w:r>
      <w:r w:rsidR="00B72782">
        <w:t xml:space="preserve">not a volume of </w:t>
      </w:r>
      <w:r w:rsidR="0003352A">
        <w:t xml:space="preserve">the </w:t>
      </w:r>
      <w:r w:rsidR="00B72782">
        <w:t>Perfection of Wisdom</w:t>
      </w:r>
      <w:r w:rsidR="0003352A">
        <w:t xml:space="preserve">, </w:t>
      </w:r>
      <w:r w:rsidR="00E073AE">
        <w:t>is</w:t>
      </w:r>
      <w:r w:rsidR="00B72782">
        <w:t xml:space="preserve"> at the center of </w:t>
      </w:r>
      <w:r w:rsidR="00ED3327">
        <w:t xml:space="preserve">the </w:t>
      </w:r>
      <w:r w:rsidR="00233DAE">
        <w:t xml:space="preserve">Medicine Buddha </w:t>
      </w:r>
      <w:r w:rsidR="006463C8">
        <w:t>m</w:t>
      </w:r>
      <w:r w:rsidR="00233DAE">
        <w:t>andala</w:t>
      </w:r>
      <w:r w:rsidR="00167FF4">
        <w:t>.</w:t>
      </w:r>
      <w:r w:rsidR="00B62FDD">
        <w:t xml:space="preserve"> </w:t>
      </w:r>
      <w:r w:rsidR="00B72782">
        <w:t xml:space="preserve"> </w:t>
      </w:r>
    </w:p>
    <w:p w14:paraId="013B1711" w14:textId="532B79A8" w:rsidR="006047E2" w:rsidRPr="00A31B59" w:rsidRDefault="00E073AE" w:rsidP="00A31B59">
      <w:pPr>
        <w:spacing w:line="480" w:lineRule="auto"/>
        <w:ind w:firstLine="720"/>
      </w:pPr>
      <w:r>
        <w:lastRenderedPageBreak/>
        <w:t>While m</w:t>
      </w:r>
      <w:r w:rsidR="00032AB8">
        <w:t xml:space="preserve">y dissertation seeks to substantiate </w:t>
      </w:r>
      <w:r w:rsidR="00EA16C7">
        <w:t>this</w:t>
      </w:r>
      <w:r w:rsidR="00032AB8">
        <w:t xml:space="preserve"> claim through a text-critical analysis of the Fifth Dalai Lama’s </w:t>
      </w:r>
      <w:r w:rsidR="00032AB8" w:rsidRPr="00AC0082">
        <w:rPr>
          <w:i/>
          <w:iCs/>
        </w:rPr>
        <w:t>Wish</w:t>
      </w:r>
      <w:r w:rsidR="00032AB8">
        <w:rPr>
          <w:i/>
          <w:iCs/>
        </w:rPr>
        <w:t>-</w:t>
      </w:r>
      <w:r w:rsidR="00032AB8" w:rsidRPr="00AC0082">
        <w:rPr>
          <w:i/>
          <w:iCs/>
        </w:rPr>
        <w:t>Fulfilling King</w:t>
      </w:r>
      <w:r w:rsidR="00032AB8">
        <w:rPr>
          <w:i/>
          <w:iCs/>
        </w:rPr>
        <w:t xml:space="preserve"> </w:t>
      </w:r>
      <w:r w:rsidR="00032AB8">
        <w:t xml:space="preserve">and an art-historical analysis </w:t>
      </w:r>
      <w:r w:rsidR="00C46769">
        <w:t xml:space="preserve">of </w:t>
      </w:r>
      <w:r w:rsidR="00ED3327">
        <w:t>the</w:t>
      </w:r>
      <w:r w:rsidR="00AC6A07">
        <w:t xml:space="preserve"> </w:t>
      </w:r>
      <w:r w:rsidR="00032AB8">
        <w:t xml:space="preserve">Medicine Buddha </w:t>
      </w:r>
      <w:r w:rsidR="006463C8">
        <w:t>m</w:t>
      </w:r>
      <w:r w:rsidR="00032AB8">
        <w:t>andala</w:t>
      </w:r>
      <w:r>
        <w:t>, c</w:t>
      </w:r>
      <w:r w:rsidR="00032AB8">
        <w:t xml:space="preserve">larifying </w:t>
      </w:r>
      <w:r w:rsidR="00110C42">
        <w:t>this</w:t>
      </w:r>
      <w:r w:rsidR="00032AB8">
        <w:t xml:space="preserve"> histor</w:t>
      </w:r>
      <w:r w:rsidR="00110C42">
        <w:t>y</w:t>
      </w:r>
      <w:r w:rsidR="008460EE">
        <w:t xml:space="preserve"> also </w:t>
      </w:r>
      <w:r w:rsidR="0079284A">
        <w:t>opens</w:t>
      </w:r>
      <w:r w:rsidR="00266B17">
        <w:t xml:space="preserve"> </w:t>
      </w:r>
      <w:r w:rsidR="006F2F7C">
        <w:t>new possibilities for understanding the nature of Buddhist books</w:t>
      </w:r>
      <w:r>
        <w:t>. M</w:t>
      </w:r>
      <w:r w:rsidR="006F2F7C">
        <w:t xml:space="preserve">any of the conclusions drawn about </w:t>
      </w:r>
      <w:r w:rsidR="00BD0C66">
        <w:t>them</w:t>
      </w:r>
      <w:r w:rsidR="006F2F7C">
        <w:t xml:space="preserve"> have been pulled from Perfection of Wisdom literature. Despite bearing hallmarks of the genre, </w:t>
      </w:r>
      <w:r w:rsidR="006F2F7C" w:rsidRPr="00255021">
        <w:rPr>
          <w:i/>
          <w:iCs/>
        </w:rPr>
        <w:t>The Wish</w:t>
      </w:r>
      <w:r w:rsidR="000707C1">
        <w:rPr>
          <w:i/>
          <w:iCs/>
        </w:rPr>
        <w:t>-</w:t>
      </w:r>
      <w:r w:rsidR="006F2F7C" w:rsidRPr="00255021">
        <w:rPr>
          <w:i/>
          <w:iCs/>
        </w:rPr>
        <w:t>Fulfilling King</w:t>
      </w:r>
      <w:r w:rsidR="006F2F7C">
        <w:t xml:space="preserve"> </w:t>
      </w:r>
      <w:r w:rsidR="00D6093D">
        <w:t>and</w:t>
      </w:r>
      <w:r w:rsidR="00D6093D" w:rsidRPr="00D6093D">
        <w:rPr>
          <w:i/>
          <w:iCs/>
        </w:rPr>
        <w:t xml:space="preserve"> </w:t>
      </w:r>
      <w:r w:rsidR="00D6093D">
        <w:t xml:space="preserve">the </w:t>
      </w:r>
      <w:r w:rsidR="00D6093D" w:rsidRPr="00670503">
        <w:rPr>
          <w:i/>
          <w:iCs/>
        </w:rPr>
        <w:t xml:space="preserve">Seven Tathāgatas </w:t>
      </w:r>
      <w:r w:rsidR="00D6093D">
        <w:rPr>
          <w:i/>
          <w:iCs/>
        </w:rPr>
        <w:t>S</w:t>
      </w:r>
      <w:r w:rsidR="00D6093D" w:rsidRPr="00670503">
        <w:rPr>
          <w:i/>
          <w:iCs/>
        </w:rPr>
        <w:t>ūtra</w:t>
      </w:r>
      <w:r w:rsidR="00D6093D">
        <w:t xml:space="preserve"> are </w:t>
      </w:r>
      <w:r w:rsidR="00E10454">
        <w:t>not Perfection of Wisdom text</w:t>
      </w:r>
      <w:r w:rsidR="00D6093D">
        <w:t>s</w:t>
      </w:r>
      <w:r w:rsidR="002B4654">
        <w:t>, and</w:t>
      </w:r>
      <w:r w:rsidR="00BB1DCF">
        <w:t xml:space="preserve"> </w:t>
      </w:r>
      <w:r w:rsidR="00DE1F44">
        <w:t xml:space="preserve">correspondingly </w:t>
      </w:r>
      <w:r w:rsidR="00BB1DCF">
        <w:t>the</w:t>
      </w:r>
      <w:r w:rsidR="00D6093D">
        <w:t xml:space="preserve"> visually </w:t>
      </w:r>
      <w:r w:rsidR="00FA5955">
        <w:t>compelling</w:t>
      </w:r>
      <w:r w:rsidR="00D6093D">
        <w:t xml:space="preserve"> example of a book being a buddha</w:t>
      </w:r>
      <w:r w:rsidR="00BB1DCF">
        <w:t xml:space="preserve"> </w:t>
      </w:r>
      <w:r w:rsidR="00D6093D">
        <w:t>is</w:t>
      </w:r>
      <w:r w:rsidR="00BB1DCF">
        <w:t xml:space="preserve"> not a volume of the</w:t>
      </w:r>
      <w:r w:rsidR="00E10454">
        <w:t xml:space="preserve"> Perfection of Wisdom.</w:t>
      </w:r>
      <w:r w:rsidR="00836D0A">
        <w:t xml:space="preserve"> </w:t>
      </w:r>
      <w:r w:rsidR="00A96C83">
        <w:t xml:space="preserve">In that context, chapters one through three </w:t>
      </w:r>
      <w:r w:rsidR="00CC1238">
        <w:t xml:space="preserve">highlight </w:t>
      </w:r>
      <w:r w:rsidR="00A96C83">
        <w:t xml:space="preserve">textual, visual, and ritual </w:t>
      </w:r>
      <w:r w:rsidR="008D23AE">
        <w:t>expressions of</w:t>
      </w:r>
      <w:r w:rsidR="00A96C83">
        <w:t xml:space="preserve"> </w:t>
      </w:r>
      <w:r w:rsidR="00DE1F44">
        <w:t>books as</w:t>
      </w:r>
      <w:r w:rsidR="00A96C83">
        <w:t xml:space="preserve"> buddhas</w:t>
      </w:r>
      <w:r w:rsidR="003F4609">
        <w:t>,</w:t>
      </w:r>
      <w:r w:rsidR="003F4609" w:rsidRPr="003F4609">
        <w:t xml:space="preserve"> </w:t>
      </w:r>
      <w:r w:rsidR="003F4609">
        <w:t xml:space="preserve">respectively. This </w:t>
      </w:r>
      <w:r w:rsidR="008D23AE">
        <w:t>culminat</w:t>
      </w:r>
      <w:r w:rsidR="003F4609">
        <w:t xml:space="preserve">es </w:t>
      </w:r>
      <w:r w:rsidR="008D23AE">
        <w:t>in c</w:t>
      </w:r>
      <w:r w:rsidR="00FA5955">
        <w:t>hapter</w:t>
      </w:r>
      <w:r w:rsidR="00A96C83">
        <w:t xml:space="preserve"> four</w:t>
      </w:r>
      <w:r w:rsidR="008D23AE">
        <w:t>, which</w:t>
      </w:r>
      <w:r w:rsidR="00FA5955">
        <w:t xml:space="preserve"> </w:t>
      </w:r>
      <w:r w:rsidR="008D23AE">
        <w:t>takes up</w:t>
      </w:r>
      <w:r w:rsidR="000A2D7E">
        <w:t xml:space="preserve"> new materialism to </w:t>
      </w:r>
      <w:r w:rsidR="008D23AE">
        <w:t>discuss</w:t>
      </w:r>
      <w:r w:rsidR="000A2D7E">
        <w:t xml:space="preserve"> how </w:t>
      </w:r>
      <w:r>
        <w:t xml:space="preserve">the </w:t>
      </w:r>
      <w:r w:rsidR="008D23AE">
        <w:t xml:space="preserve">texts, images, and </w:t>
      </w:r>
      <w:r w:rsidR="009A3903">
        <w:t>rituals</w:t>
      </w:r>
      <w:r>
        <w:t xml:space="preserve"> of this tradition</w:t>
      </w:r>
      <w:r w:rsidR="009A3903">
        <w:t xml:space="preserve"> </w:t>
      </w:r>
      <w:r w:rsidR="00B72782">
        <w:t>co-constitute</w:t>
      </w:r>
      <w:r w:rsidR="003F4609">
        <w:t xml:space="preserve"> the </w:t>
      </w:r>
      <w:r w:rsidR="00266B17">
        <w:t>possibility of books as buddhas.</w:t>
      </w:r>
      <w:r w:rsidR="000A2D7E">
        <w:t xml:space="preserve"> </w:t>
      </w:r>
      <w:r w:rsidR="0081683B">
        <w:t>Chapter five provides the first</w:t>
      </w:r>
      <w:r w:rsidR="000A2D7E">
        <w:t xml:space="preserve"> complete </w:t>
      </w:r>
      <w:r w:rsidR="0081683B">
        <w:t xml:space="preserve">English </w:t>
      </w:r>
      <w:r w:rsidR="000A2D7E">
        <w:t xml:space="preserve">translation of </w:t>
      </w:r>
      <w:r w:rsidR="000A2D7E" w:rsidRPr="00DC13CF">
        <w:rPr>
          <w:i/>
          <w:iCs/>
        </w:rPr>
        <w:t>The</w:t>
      </w:r>
      <w:r w:rsidR="000A2D7E">
        <w:t xml:space="preserve"> </w:t>
      </w:r>
      <w:r w:rsidR="000A2D7E" w:rsidRPr="00973806">
        <w:rPr>
          <w:i/>
          <w:iCs/>
        </w:rPr>
        <w:t>Wish</w:t>
      </w:r>
      <w:r w:rsidR="000A2D7E">
        <w:rPr>
          <w:i/>
          <w:iCs/>
        </w:rPr>
        <w:t>-</w:t>
      </w:r>
      <w:r w:rsidR="000A2D7E" w:rsidRPr="00973806">
        <w:rPr>
          <w:i/>
          <w:iCs/>
        </w:rPr>
        <w:t>Fulfilling King</w:t>
      </w:r>
      <w:r w:rsidR="0081683B">
        <w:t xml:space="preserve">. </w:t>
      </w:r>
    </w:p>
    <w:p w14:paraId="3291C7B5" w14:textId="11B1D79E" w:rsidR="00973806" w:rsidRDefault="00973806" w:rsidP="00973806">
      <w:pPr>
        <w:pStyle w:val="Heading2"/>
      </w:pPr>
      <w:r>
        <w:t xml:space="preserve">3. Methodology </w:t>
      </w:r>
    </w:p>
    <w:p w14:paraId="6EA98E9B" w14:textId="79D0B1B6" w:rsidR="00973806" w:rsidRDefault="00973806" w:rsidP="00973806"/>
    <w:p w14:paraId="3CAAC840" w14:textId="33D0F01B" w:rsidR="006B3B34" w:rsidRDefault="005338CE" w:rsidP="00EE7BAA">
      <w:pPr>
        <w:spacing w:line="480" w:lineRule="auto"/>
        <w:ind w:firstLine="720"/>
      </w:pPr>
      <w:r w:rsidRPr="005338CE">
        <w:t xml:space="preserve">I </w:t>
      </w:r>
      <w:r w:rsidR="00636A8D">
        <w:t>adopt</w:t>
      </w:r>
      <w:r w:rsidRPr="005338CE">
        <w:t xml:space="preserve"> a critically realist approach to </w:t>
      </w:r>
      <w:r w:rsidR="00241231">
        <w:t>my</w:t>
      </w:r>
      <w:r w:rsidRPr="005338CE">
        <w:t xml:space="preserve"> sources, </w:t>
      </w:r>
      <w:r>
        <w:t xml:space="preserve">where </w:t>
      </w:r>
      <w:r w:rsidRPr="005338CE">
        <w:rPr>
          <w:i/>
          <w:iCs/>
        </w:rPr>
        <w:t>critical realism</w:t>
      </w:r>
      <w:r w:rsidRPr="005338CE">
        <w:t xml:space="preserve"> </w:t>
      </w:r>
      <w:r>
        <w:t>understands</w:t>
      </w:r>
      <w:r w:rsidRPr="005338CE">
        <w:t xml:space="preserve"> that access to and knowledge of the world</w:t>
      </w:r>
      <w:r>
        <w:t xml:space="preserve"> (</w:t>
      </w:r>
      <w:r w:rsidRPr="005338CE">
        <w:t xml:space="preserve">what is ontologically and epistemically </w:t>
      </w:r>
      <w:r w:rsidR="007545A4">
        <w:t>available</w:t>
      </w:r>
      <w:r>
        <w:t xml:space="preserve">) </w:t>
      </w:r>
      <w:r w:rsidR="007545A4">
        <w:t xml:space="preserve">is neither given nor </w:t>
      </w:r>
      <w:r w:rsidR="00A73BD4">
        <w:t xml:space="preserve">absolutely </w:t>
      </w:r>
      <w:r w:rsidR="007545A4">
        <w:t>answerable</w:t>
      </w:r>
      <w:r w:rsidRPr="005338CE">
        <w:t xml:space="preserve"> to us</w:t>
      </w:r>
      <w:r w:rsidR="007A0462">
        <w:t xml:space="preserve"> because </w:t>
      </w:r>
      <w:r w:rsidRPr="005338CE">
        <w:t xml:space="preserve">access and knowledge </w:t>
      </w:r>
      <w:r w:rsidR="007A0462">
        <w:t xml:space="preserve">are </w:t>
      </w:r>
      <w:r w:rsidR="00D55EBC">
        <w:t xml:space="preserve">always </w:t>
      </w:r>
      <w:r w:rsidR="007A0462" w:rsidRPr="005338CE">
        <w:t xml:space="preserve">mediated </w:t>
      </w:r>
      <w:r w:rsidRPr="005338CE">
        <w:t>historically</w:t>
      </w:r>
      <w:r w:rsidR="007A0462">
        <w:t xml:space="preserve"> and </w:t>
      </w:r>
      <w:r w:rsidRPr="005338CE">
        <w:t xml:space="preserve">socially. </w:t>
      </w:r>
      <w:r>
        <w:t>In effect</w:t>
      </w:r>
      <w:r w:rsidRPr="005338CE">
        <w:t xml:space="preserve">, </w:t>
      </w:r>
      <w:r w:rsidR="007A0462">
        <w:t xml:space="preserve">there is no </w:t>
      </w:r>
      <w:r w:rsidR="00202F96">
        <w:t>“</w:t>
      </w:r>
      <w:r w:rsidR="007A0462">
        <w:t>God’s-eye</w:t>
      </w:r>
      <w:r w:rsidR="00202F96">
        <w:t>”</w:t>
      </w:r>
      <w:r w:rsidR="007A0462">
        <w:t xml:space="preserve"> point of view</w:t>
      </w:r>
      <w:r w:rsidR="00D55EBC">
        <w:t xml:space="preserve">, </w:t>
      </w:r>
      <w:r w:rsidR="00A808D6">
        <w:t>but</w:t>
      </w:r>
      <w:r w:rsidR="00D55EBC">
        <w:t xml:space="preserve"> communities of inquirers, whose real </w:t>
      </w:r>
      <w:r w:rsidR="00160098">
        <w:t>sociohistorical</w:t>
      </w:r>
      <w:r w:rsidR="00D55EBC">
        <w:t xml:space="preserve"> </w:t>
      </w:r>
      <w:r w:rsidR="00D55EBC" w:rsidRPr="005338CE">
        <w:t>circumstances</w:t>
      </w:r>
      <w:r w:rsidR="00D55EBC">
        <w:t xml:space="preserve"> give them </w:t>
      </w:r>
      <w:r w:rsidR="00A73BD4">
        <w:t xml:space="preserve">some </w:t>
      </w:r>
      <w:r w:rsidR="00D55EBC">
        <w:t xml:space="preserve">purchase on </w:t>
      </w:r>
      <w:r w:rsidR="006B3B34">
        <w:t>the world</w:t>
      </w:r>
      <w:r w:rsidR="00160098">
        <w:t>, and w</w:t>
      </w:r>
      <w:r w:rsidR="006B3B34">
        <w:t xml:space="preserve">hat </w:t>
      </w:r>
      <w:r w:rsidR="00160098">
        <w:t xml:space="preserve">any of </w:t>
      </w:r>
      <w:r w:rsidR="006B3B34">
        <w:t>these communities pick</w:t>
      </w:r>
      <w:r w:rsidR="00E72061">
        <w:t>s</w:t>
      </w:r>
      <w:r w:rsidR="006B3B34">
        <w:t xml:space="preserve"> out as significant </w:t>
      </w:r>
      <w:r w:rsidR="006B3B34" w:rsidRPr="005338CE">
        <w:t xml:space="preserve">is never total, always contingent, and subject to </w:t>
      </w:r>
      <w:r w:rsidR="006B3B34">
        <w:t xml:space="preserve">ongoing </w:t>
      </w:r>
      <w:r w:rsidR="006B3B34" w:rsidRPr="005338CE">
        <w:t xml:space="preserve">reinterpretations. </w:t>
      </w:r>
    </w:p>
    <w:p w14:paraId="4D9282E5" w14:textId="3F6AA8CD" w:rsidR="00E3684A" w:rsidRDefault="006B3B34" w:rsidP="00EE7BAA">
      <w:pPr>
        <w:spacing w:line="480" w:lineRule="auto"/>
        <w:ind w:firstLine="720"/>
      </w:pPr>
      <w:r>
        <w:t>A critical</w:t>
      </w:r>
      <w:r w:rsidR="00342C69">
        <w:t>ly</w:t>
      </w:r>
      <w:r>
        <w:t xml:space="preserve"> realist </w:t>
      </w:r>
      <w:r w:rsidRPr="005338CE">
        <w:t xml:space="preserve">approach </w:t>
      </w:r>
      <w:r>
        <w:t xml:space="preserve">neither treats </w:t>
      </w:r>
      <w:r w:rsidR="00241231">
        <w:t>sources</w:t>
      </w:r>
      <w:r>
        <w:t xml:space="preserve"> as whole and complete nor seeks to gain access to the true intent</w:t>
      </w:r>
      <w:r w:rsidR="00636A8D">
        <w:t>ions</w:t>
      </w:r>
      <w:r>
        <w:t xml:space="preserve"> of their authors. It accepts that </w:t>
      </w:r>
      <w:r w:rsidR="00233DAE">
        <w:t>sources</w:t>
      </w:r>
      <w:r>
        <w:t xml:space="preserve"> underwrite possible worlds, and that some of t</w:t>
      </w:r>
      <w:r w:rsidRPr="005338CE">
        <w:t>he</w:t>
      </w:r>
      <w:r>
        <w:t xml:space="preserve">se worlds are available in the present due to the </w:t>
      </w:r>
      <w:r w:rsidR="00160098">
        <w:t xml:space="preserve">real </w:t>
      </w:r>
      <w:r w:rsidR="001362F7">
        <w:t>sociohistorical</w:t>
      </w:r>
      <w:r>
        <w:t xml:space="preserve"> </w:t>
      </w:r>
      <w:r w:rsidR="001362F7">
        <w:lastRenderedPageBreak/>
        <w:t>circumstances</w:t>
      </w:r>
      <w:r>
        <w:t xml:space="preserve"> in which </w:t>
      </w:r>
      <w:r w:rsidR="00CF12D2">
        <w:t xml:space="preserve">certain communities of inquirers </w:t>
      </w:r>
      <w:r>
        <w:t xml:space="preserve">now find </w:t>
      </w:r>
      <w:r w:rsidR="00CF12D2">
        <w:t>themselves</w:t>
      </w:r>
      <w:r>
        <w:t>.</w:t>
      </w:r>
      <w:r w:rsidR="00E3684A">
        <w:t xml:space="preserve"> Accordingly, this dissertation is not the final word on the subjects discussed herein. Rather, </w:t>
      </w:r>
      <w:r w:rsidR="00CF12D2">
        <w:t xml:space="preserve">my </w:t>
      </w:r>
      <w:r w:rsidR="00E3684A">
        <w:t xml:space="preserve">hope </w:t>
      </w:r>
      <w:r w:rsidR="00CF12D2">
        <w:t xml:space="preserve">is that </w:t>
      </w:r>
      <w:r w:rsidR="00E3684A">
        <w:t xml:space="preserve">the picture I develop of books as buddhas stands as an attractive one based upon </w:t>
      </w:r>
      <w:r w:rsidR="00CF12D2">
        <w:t xml:space="preserve">my access </w:t>
      </w:r>
      <w:r w:rsidR="00E72061">
        <w:t xml:space="preserve">to </w:t>
      </w:r>
      <w:r w:rsidR="00CF12D2">
        <w:t xml:space="preserve">and knowledge of the world. </w:t>
      </w:r>
    </w:p>
    <w:p w14:paraId="0B60E29B" w14:textId="765D1D61" w:rsidR="008126CC" w:rsidRPr="00EE7BAA" w:rsidRDefault="008126CC" w:rsidP="00EE7BAA">
      <w:pPr>
        <w:pStyle w:val="Default"/>
        <w:spacing w:after="22" w:line="480" w:lineRule="auto"/>
        <w:rPr>
          <w:rFonts w:ascii="Times New Roman" w:hAnsi="Times New Roman" w:cs="Times New Roman"/>
        </w:rPr>
      </w:pPr>
      <w:r>
        <w:rPr>
          <w:rFonts w:ascii="Times New Roman" w:hAnsi="Times New Roman" w:cs="Times New Roman"/>
          <w:sz w:val="22"/>
          <w:szCs w:val="22"/>
        </w:rPr>
        <w:tab/>
      </w:r>
      <w:r w:rsidRPr="008126CC">
        <w:rPr>
          <w:rFonts w:ascii="Times New Roman" w:hAnsi="Times New Roman" w:cs="Times New Roman"/>
        </w:rPr>
        <w:t>Perhaps most significantly</w:t>
      </w:r>
      <w:r w:rsidR="00241231">
        <w:rPr>
          <w:rFonts w:ascii="Times New Roman" w:hAnsi="Times New Roman" w:cs="Times New Roman"/>
        </w:rPr>
        <w:t xml:space="preserve">, </w:t>
      </w:r>
      <w:r>
        <w:rPr>
          <w:rFonts w:ascii="Times New Roman" w:hAnsi="Times New Roman" w:cs="Times New Roman"/>
        </w:rPr>
        <w:t xml:space="preserve">this dissertation is </w:t>
      </w:r>
      <w:r w:rsidR="00994CB3">
        <w:rPr>
          <w:rFonts w:ascii="Times New Roman" w:hAnsi="Times New Roman" w:cs="Times New Roman"/>
        </w:rPr>
        <w:t xml:space="preserve">a philosophical investigation into the possibility of books as buddhas </w:t>
      </w:r>
      <w:r w:rsidR="00C92AA2">
        <w:rPr>
          <w:rFonts w:ascii="Times New Roman" w:hAnsi="Times New Roman" w:cs="Times New Roman"/>
        </w:rPr>
        <w:t>carried out</w:t>
      </w:r>
      <w:r w:rsidR="00994CB3">
        <w:rPr>
          <w:rFonts w:ascii="Times New Roman" w:hAnsi="Times New Roman" w:cs="Times New Roman"/>
        </w:rPr>
        <w:t xml:space="preserve"> through a specific </w:t>
      </w:r>
      <w:r w:rsidR="00233DAE">
        <w:rPr>
          <w:rFonts w:ascii="Times New Roman" w:hAnsi="Times New Roman" w:cs="Times New Roman"/>
        </w:rPr>
        <w:t xml:space="preserve">textual, </w:t>
      </w:r>
      <w:r w:rsidR="00994CB3">
        <w:rPr>
          <w:rFonts w:ascii="Times New Roman" w:hAnsi="Times New Roman" w:cs="Times New Roman"/>
        </w:rPr>
        <w:t>visual</w:t>
      </w:r>
      <w:r w:rsidR="00CC242F">
        <w:rPr>
          <w:rFonts w:ascii="Times New Roman" w:hAnsi="Times New Roman" w:cs="Times New Roman"/>
        </w:rPr>
        <w:t xml:space="preserve">, </w:t>
      </w:r>
      <w:r w:rsidR="00775437">
        <w:rPr>
          <w:rFonts w:ascii="Times New Roman" w:hAnsi="Times New Roman" w:cs="Times New Roman"/>
        </w:rPr>
        <w:t xml:space="preserve">and </w:t>
      </w:r>
      <w:r w:rsidR="00CC242F">
        <w:rPr>
          <w:rFonts w:ascii="Times New Roman" w:hAnsi="Times New Roman" w:cs="Times New Roman"/>
        </w:rPr>
        <w:t>ritual</w:t>
      </w:r>
      <w:r w:rsidR="00775437">
        <w:rPr>
          <w:rFonts w:ascii="Times New Roman" w:hAnsi="Times New Roman" w:cs="Times New Roman"/>
        </w:rPr>
        <w:t xml:space="preserve"> </w:t>
      </w:r>
      <w:r w:rsidR="00994CB3">
        <w:rPr>
          <w:rFonts w:ascii="Times New Roman" w:hAnsi="Times New Roman" w:cs="Times New Roman"/>
        </w:rPr>
        <w:t>tradition.</w:t>
      </w:r>
      <w:r w:rsidR="00C92AA2">
        <w:rPr>
          <w:rFonts w:ascii="Times New Roman" w:hAnsi="Times New Roman" w:cs="Times New Roman"/>
        </w:rPr>
        <w:t xml:space="preserve"> The </w:t>
      </w:r>
      <w:r w:rsidR="00800E89">
        <w:rPr>
          <w:rFonts w:ascii="Times New Roman" w:hAnsi="Times New Roman" w:cs="Times New Roman"/>
        </w:rPr>
        <w:t>regulative assumption</w:t>
      </w:r>
      <w:r w:rsidR="00C92AA2">
        <w:rPr>
          <w:rFonts w:ascii="Times New Roman" w:hAnsi="Times New Roman" w:cs="Times New Roman"/>
        </w:rPr>
        <w:t xml:space="preserve"> of my investigation is the new materialist view of matter as inherently active and meaningful. </w:t>
      </w:r>
      <w:r w:rsidR="00D26E92">
        <w:rPr>
          <w:rFonts w:ascii="Times New Roman" w:hAnsi="Times New Roman" w:cs="Times New Roman"/>
        </w:rPr>
        <w:t xml:space="preserve">For that reason, I do not treat my sources as passive objects onto which humans </w:t>
      </w:r>
      <w:r w:rsidR="00241231">
        <w:rPr>
          <w:rFonts w:ascii="Times New Roman" w:hAnsi="Times New Roman" w:cs="Times New Roman"/>
        </w:rPr>
        <w:t>cast</w:t>
      </w:r>
      <w:r w:rsidR="00D26E92">
        <w:rPr>
          <w:rFonts w:ascii="Times New Roman" w:hAnsi="Times New Roman" w:cs="Times New Roman"/>
        </w:rPr>
        <w:t xml:space="preserve"> meaning but as agents</w:t>
      </w:r>
      <w:r w:rsidR="00241231">
        <w:rPr>
          <w:rFonts w:ascii="Times New Roman" w:hAnsi="Times New Roman" w:cs="Times New Roman"/>
        </w:rPr>
        <w:t>,</w:t>
      </w:r>
      <w:r w:rsidR="00D26E92">
        <w:rPr>
          <w:rFonts w:ascii="Times New Roman" w:hAnsi="Times New Roman" w:cs="Times New Roman"/>
        </w:rPr>
        <w:t xml:space="preserve"> </w:t>
      </w:r>
      <w:r w:rsidR="00336537">
        <w:rPr>
          <w:rFonts w:ascii="Times New Roman" w:hAnsi="Times New Roman" w:cs="Times New Roman"/>
        </w:rPr>
        <w:t>co</w:t>
      </w:r>
      <w:r w:rsidR="003F4609">
        <w:rPr>
          <w:rFonts w:ascii="Times New Roman" w:hAnsi="Times New Roman" w:cs="Times New Roman"/>
        </w:rPr>
        <w:t>creating</w:t>
      </w:r>
      <w:r w:rsidR="00336537">
        <w:rPr>
          <w:rFonts w:ascii="Times New Roman" w:hAnsi="Times New Roman" w:cs="Times New Roman"/>
        </w:rPr>
        <w:t xml:space="preserve"> </w:t>
      </w:r>
      <w:r w:rsidR="00F543D5">
        <w:rPr>
          <w:rFonts w:ascii="Times New Roman" w:hAnsi="Times New Roman" w:cs="Times New Roman"/>
        </w:rPr>
        <w:t>what it means for a book to be a buddha</w:t>
      </w:r>
      <w:r w:rsidR="00336537">
        <w:rPr>
          <w:rFonts w:ascii="Times New Roman" w:hAnsi="Times New Roman" w:cs="Times New Roman"/>
        </w:rPr>
        <w:t xml:space="preserve">. </w:t>
      </w:r>
      <w:r w:rsidR="00241231">
        <w:rPr>
          <w:rFonts w:ascii="Times New Roman" w:hAnsi="Times New Roman" w:cs="Times New Roman"/>
        </w:rPr>
        <w:t>Consequently, t</w:t>
      </w:r>
      <w:r w:rsidR="00336537">
        <w:rPr>
          <w:rFonts w:ascii="Times New Roman" w:hAnsi="Times New Roman" w:cs="Times New Roman"/>
        </w:rPr>
        <w:t xml:space="preserve">his is not </w:t>
      </w:r>
      <w:r w:rsidR="00800E89">
        <w:rPr>
          <w:rFonts w:ascii="Times New Roman" w:hAnsi="Times New Roman" w:cs="Times New Roman"/>
        </w:rPr>
        <w:t>an investigation</w:t>
      </w:r>
      <w:r w:rsidR="00336537">
        <w:rPr>
          <w:rFonts w:ascii="Times New Roman" w:hAnsi="Times New Roman" w:cs="Times New Roman"/>
        </w:rPr>
        <w:t xml:space="preserve"> </w:t>
      </w:r>
      <w:r w:rsidR="00800E89">
        <w:rPr>
          <w:rFonts w:ascii="Times New Roman" w:hAnsi="Times New Roman" w:cs="Times New Roman"/>
        </w:rPr>
        <w:t>into</w:t>
      </w:r>
      <w:r w:rsidR="00336537">
        <w:rPr>
          <w:rFonts w:ascii="Times New Roman" w:hAnsi="Times New Roman" w:cs="Times New Roman"/>
        </w:rPr>
        <w:t xml:space="preserve"> how these sources </w:t>
      </w:r>
      <w:r w:rsidR="00800E89">
        <w:rPr>
          <w:rFonts w:ascii="Times New Roman" w:hAnsi="Times New Roman" w:cs="Times New Roman"/>
        </w:rPr>
        <w:t xml:space="preserve">represent a more fundamental expression of buddhahood, </w:t>
      </w:r>
      <w:r w:rsidR="00336537">
        <w:rPr>
          <w:rFonts w:ascii="Times New Roman" w:hAnsi="Times New Roman" w:cs="Times New Roman"/>
        </w:rPr>
        <w:t xml:space="preserve">but </w:t>
      </w:r>
      <w:r w:rsidR="00800E89">
        <w:rPr>
          <w:rFonts w:ascii="Times New Roman" w:hAnsi="Times New Roman" w:cs="Times New Roman"/>
        </w:rPr>
        <w:t xml:space="preserve">rather an investigation into </w:t>
      </w:r>
      <w:r w:rsidR="00336537">
        <w:rPr>
          <w:rFonts w:ascii="Times New Roman" w:hAnsi="Times New Roman" w:cs="Times New Roman"/>
        </w:rPr>
        <w:t xml:space="preserve">what </w:t>
      </w:r>
      <w:r w:rsidR="00800E89">
        <w:rPr>
          <w:rFonts w:ascii="Times New Roman" w:hAnsi="Times New Roman" w:cs="Times New Roman"/>
        </w:rPr>
        <w:t xml:space="preserve">they </w:t>
      </w:r>
      <w:r w:rsidR="00336537">
        <w:rPr>
          <w:rFonts w:ascii="Times New Roman" w:hAnsi="Times New Roman" w:cs="Times New Roman"/>
        </w:rPr>
        <w:t xml:space="preserve">must be like to perform buddhahood. </w:t>
      </w:r>
    </w:p>
    <w:p w14:paraId="4C27FCD8" w14:textId="03DC0A22" w:rsidR="00C158DD" w:rsidRDefault="00973806" w:rsidP="00C158DD">
      <w:pPr>
        <w:pStyle w:val="Heading2"/>
      </w:pPr>
      <w:r>
        <w:t>4</w:t>
      </w:r>
      <w:r w:rsidR="00C158DD">
        <w:t>. Significance</w:t>
      </w:r>
      <w:r w:rsidR="00C158DD" w:rsidRPr="00DF2EDA">
        <w:t xml:space="preserve"> and </w:t>
      </w:r>
      <w:r w:rsidR="00C158DD">
        <w:t>C</w:t>
      </w:r>
      <w:r w:rsidR="00C158DD" w:rsidRPr="00DF2EDA">
        <w:t xml:space="preserve">ontribution to the </w:t>
      </w:r>
      <w:r w:rsidR="00C158DD">
        <w:t>Di</w:t>
      </w:r>
      <w:r w:rsidR="00C158DD" w:rsidRPr="00DF2EDA">
        <w:t>scipline</w:t>
      </w:r>
    </w:p>
    <w:p w14:paraId="101931B7" w14:textId="3194E577" w:rsidR="00AB6336" w:rsidRDefault="00AB6336" w:rsidP="00AB6336"/>
    <w:p w14:paraId="4371709F" w14:textId="613B2B8E" w:rsidR="00D6093D" w:rsidRDefault="00AB6336" w:rsidP="00EE7BAA">
      <w:pPr>
        <w:spacing w:line="480" w:lineRule="auto"/>
        <w:ind w:firstLine="720"/>
      </w:pPr>
      <w:r>
        <w:t xml:space="preserve">My dissertation </w:t>
      </w:r>
      <w:r w:rsidR="000915A7">
        <w:t>offers a</w:t>
      </w:r>
      <w:r>
        <w:t xml:space="preserve"> </w:t>
      </w:r>
      <w:r w:rsidR="003D32C7">
        <w:t>distinctive</w:t>
      </w:r>
      <w:r>
        <w:t xml:space="preserve"> </w:t>
      </w:r>
      <w:r w:rsidR="00567022">
        <w:t>approach to the study of Buddhist books</w:t>
      </w:r>
      <w:r w:rsidR="00225F8A">
        <w:t xml:space="preserve">, taking </w:t>
      </w:r>
      <w:r w:rsidR="009F78F2">
        <w:t xml:space="preserve">a visually compelling example </w:t>
      </w:r>
      <w:r w:rsidR="00CC242F">
        <w:t xml:space="preserve">of </w:t>
      </w:r>
      <w:r w:rsidR="00225F8A">
        <w:t xml:space="preserve">a book </w:t>
      </w:r>
      <w:r w:rsidR="00B70563">
        <w:t>as</w:t>
      </w:r>
      <w:r w:rsidR="00225F8A">
        <w:t xml:space="preserve"> </w:t>
      </w:r>
      <w:r w:rsidR="009901E9">
        <w:t xml:space="preserve">a </w:t>
      </w:r>
      <w:r w:rsidR="00225F8A">
        <w:t xml:space="preserve">buddha and </w:t>
      </w:r>
      <w:r w:rsidR="00255021">
        <w:t>tracing</w:t>
      </w:r>
      <w:r w:rsidR="00225F8A">
        <w:t xml:space="preserve"> its</w:t>
      </w:r>
      <w:r w:rsidR="009F78F2">
        <w:t xml:space="preserve"> history </w:t>
      </w:r>
      <w:r w:rsidR="000A6B7C">
        <w:t xml:space="preserve">through that </w:t>
      </w:r>
      <w:r w:rsidR="009F78F2">
        <w:t xml:space="preserve">of an individual work </w:t>
      </w:r>
      <w:r w:rsidR="00225F8A">
        <w:t>in order to draw broader conclusions about the nature of the book in Buddhism.</w:t>
      </w:r>
      <w:r w:rsidR="000A6B7C">
        <w:t xml:space="preserve"> </w:t>
      </w:r>
      <w:r w:rsidR="005D764F">
        <w:t>E</w:t>
      </w:r>
      <w:r w:rsidR="00DE1F44">
        <w:t>lucidating</w:t>
      </w:r>
      <w:r w:rsidR="00225F8A">
        <w:t xml:space="preserve"> th</w:t>
      </w:r>
      <w:r w:rsidR="00255021">
        <w:t>e unresolved</w:t>
      </w:r>
      <w:r w:rsidR="00225F8A">
        <w:t xml:space="preserve"> histor</w:t>
      </w:r>
      <w:r w:rsidR="009F78F2">
        <w:t xml:space="preserve">y </w:t>
      </w:r>
      <w:r w:rsidR="00255021">
        <w:t xml:space="preserve">of </w:t>
      </w:r>
      <w:r w:rsidR="00146E73">
        <w:t xml:space="preserve">the </w:t>
      </w:r>
      <w:r w:rsidR="009F78F2">
        <w:t xml:space="preserve">Medicine Buddha </w:t>
      </w:r>
      <w:r w:rsidR="009F1D02">
        <w:t>m</w:t>
      </w:r>
      <w:r w:rsidR="009F78F2">
        <w:t>andala in relation to</w:t>
      </w:r>
      <w:r w:rsidR="009F78F2" w:rsidRPr="00255021">
        <w:rPr>
          <w:i/>
          <w:iCs/>
        </w:rPr>
        <w:t xml:space="preserve"> </w:t>
      </w:r>
      <w:r w:rsidR="00255021" w:rsidRPr="00255021">
        <w:rPr>
          <w:i/>
          <w:iCs/>
        </w:rPr>
        <w:t>The Wish-Fulfilling King</w:t>
      </w:r>
      <w:r w:rsidR="00255021">
        <w:t xml:space="preserve"> </w:t>
      </w:r>
      <w:r w:rsidR="009F78F2">
        <w:t>is a</w:t>
      </w:r>
      <w:r w:rsidR="00225F8A">
        <w:t xml:space="preserve"> significant </w:t>
      </w:r>
      <w:r w:rsidR="00255021">
        <w:t xml:space="preserve">contribution </w:t>
      </w:r>
      <w:r w:rsidR="00D232D0">
        <w:t>to</w:t>
      </w:r>
      <w:r w:rsidR="00255021">
        <w:t xml:space="preserve"> Buddhist </w:t>
      </w:r>
      <w:r w:rsidR="00576540">
        <w:t>s</w:t>
      </w:r>
      <w:r w:rsidR="00255021">
        <w:t>tudies</w:t>
      </w:r>
      <w:r w:rsidR="00EE6E34">
        <w:t xml:space="preserve"> </w:t>
      </w:r>
      <w:r w:rsidR="009F78F2">
        <w:t>in its own right</w:t>
      </w:r>
      <w:r w:rsidR="00255021">
        <w:t>,</w:t>
      </w:r>
      <w:r w:rsidR="00DE1F44">
        <w:t xml:space="preserve"> </w:t>
      </w:r>
      <w:r w:rsidR="005D764F">
        <w:t xml:space="preserve">but </w:t>
      </w:r>
      <w:r w:rsidR="003D32C7">
        <w:t xml:space="preserve">the </w:t>
      </w:r>
      <w:r w:rsidR="00DE1F44">
        <w:t xml:space="preserve">study also </w:t>
      </w:r>
      <w:r w:rsidR="00B869D3">
        <w:t>animates a new</w:t>
      </w:r>
      <w:r w:rsidR="00270390">
        <w:t xml:space="preserve"> </w:t>
      </w:r>
      <w:r w:rsidR="008D23AE">
        <w:t>textual, visual, and ritual</w:t>
      </w:r>
      <w:r w:rsidR="00270390">
        <w:t xml:space="preserve"> tradition from which to </w:t>
      </w:r>
      <w:r w:rsidR="00940071">
        <w:t xml:space="preserve">understand the nature </w:t>
      </w:r>
      <w:r w:rsidR="00CF4DDF">
        <w:t xml:space="preserve">of </w:t>
      </w:r>
      <w:r w:rsidR="00940071">
        <w:t>Buddhist books</w:t>
      </w:r>
      <w:r w:rsidR="0076124E">
        <w:t xml:space="preserve">. </w:t>
      </w:r>
      <w:r w:rsidR="00CC242F">
        <w:t>So far, m</w:t>
      </w:r>
      <w:r w:rsidR="0076124E">
        <w:t xml:space="preserve">any of the conclusions about </w:t>
      </w:r>
      <w:r w:rsidR="005D764F">
        <w:t>them</w:t>
      </w:r>
      <w:r w:rsidR="0076124E">
        <w:t xml:space="preserve"> have been pulled from Perfection of Wisdom literature. By contrast, </w:t>
      </w:r>
      <w:r w:rsidR="0076124E">
        <w:rPr>
          <w:i/>
          <w:iCs/>
        </w:rPr>
        <w:t>T</w:t>
      </w:r>
      <w:r w:rsidR="0076124E" w:rsidRPr="0076124E">
        <w:rPr>
          <w:i/>
          <w:iCs/>
        </w:rPr>
        <w:t>he Wish-Fulfilling King</w:t>
      </w:r>
      <w:r w:rsidR="00BB1DCF">
        <w:t xml:space="preserve"> </w:t>
      </w:r>
      <w:r w:rsidR="00D6093D">
        <w:t xml:space="preserve">and the </w:t>
      </w:r>
      <w:r w:rsidR="00D6093D" w:rsidRPr="00670503">
        <w:rPr>
          <w:i/>
          <w:iCs/>
        </w:rPr>
        <w:t xml:space="preserve">Seven Tathāgatas </w:t>
      </w:r>
      <w:r w:rsidR="00D6093D">
        <w:rPr>
          <w:i/>
          <w:iCs/>
        </w:rPr>
        <w:t>S</w:t>
      </w:r>
      <w:r w:rsidR="00D6093D" w:rsidRPr="00670503">
        <w:rPr>
          <w:i/>
          <w:iCs/>
        </w:rPr>
        <w:t>ūtra</w:t>
      </w:r>
      <w:r w:rsidR="00D6093D">
        <w:t xml:space="preserve"> are</w:t>
      </w:r>
      <w:r w:rsidR="00BB1DCF">
        <w:t xml:space="preserve"> not</w:t>
      </w:r>
      <w:r w:rsidR="00D6093D">
        <w:t xml:space="preserve"> </w:t>
      </w:r>
      <w:r w:rsidR="00A02B04">
        <w:t xml:space="preserve">Perfection of Wisdom </w:t>
      </w:r>
      <w:r w:rsidR="00BB1DCF">
        <w:t>text</w:t>
      </w:r>
      <w:r w:rsidR="00D6093D">
        <w:t>s</w:t>
      </w:r>
      <w:r w:rsidR="00DE1F44">
        <w:t xml:space="preserve">, </w:t>
      </w:r>
      <w:r w:rsidR="002B4654">
        <w:t xml:space="preserve">and </w:t>
      </w:r>
      <w:r w:rsidR="00703A18">
        <w:t>correspondingly</w:t>
      </w:r>
      <w:r w:rsidR="00DE1F44">
        <w:t xml:space="preserve"> </w:t>
      </w:r>
      <w:r w:rsidR="002B4654">
        <w:t xml:space="preserve">it is </w:t>
      </w:r>
      <w:r w:rsidR="00BB1DCF">
        <w:t xml:space="preserve">not a volume of the Perfection of Wisdom </w:t>
      </w:r>
      <w:r w:rsidR="0076124E">
        <w:t xml:space="preserve">at the center of </w:t>
      </w:r>
      <w:r w:rsidR="007902AD">
        <w:t xml:space="preserve">the </w:t>
      </w:r>
      <w:r w:rsidR="0076124E">
        <w:t xml:space="preserve">Medicine Buddha </w:t>
      </w:r>
      <w:r w:rsidR="006463C8">
        <w:t>m</w:t>
      </w:r>
      <w:r w:rsidR="0076124E">
        <w:t>andala.</w:t>
      </w:r>
      <w:r w:rsidR="00D6093D">
        <w:t xml:space="preserve"> </w:t>
      </w:r>
    </w:p>
    <w:p w14:paraId="22A5CFA0" w14:textId="6C8418BA" w:rsidR="00B869D3" w:rsidRPr="00B869D3" w:rsidRDefault="005D764F" w:rsidP="00EE7BAA">
      <w:pPr>
        <w:spacing w:line="480" w:lineRule="auto"/>
        <w:ind w:firstLine="720"/>
      </w:pPr>
      <w:r>
        <w:lastRenderedPageBreak/>
        <w:t>Although t</w:t>
      </w:r>
      <w:r w:rsidR="003D32C7">
        <w:t xml:space="preserve">his dissertation is </w:t>
      </w:r>
      <w:r w:rsidR="00B869D3">
        <w:t>partly</w:t>
      </w:r>
      <w:r w:rsidR="003D32C7">
        <w:t xml:space="preserve"> text</w:t>
      </w:r>
      <w:r w:rsidR="00C712C9">
        <w:t>-critical</w:t>
      </w:r>
      <w:r w:rsidR="003D32C7">
        <w:t xml:space="preserve">, it recognizes </w:t>
      </w:r>
      <w:r w:rsidR="00C72A77">
        <w:t>its</w:t>
      </w:r>
      <w:r w:rsidR="003D32C7">
        <w:t xml:space="preserve"> sources reveal</w:t>
      </w:r>
      <w:r w:rsidR="006D561F">
        <w:t xml:space="preserve"> </w:t>
      </w:r>
      <w:r w:rsidR="00C712C9">
        <w:t>uniquely generative</w:t>
      </w:r>
      <w:r w:rsidR="006D561F">
        <w:t xml:space="preserve"> ideas</w:t>
      </w:r>
      <w:r w:rsidR="00B4570A">
        <w:t xml:space="preserve"> that </w:t>
      </w:r>
      <w:r w:rsidR="00A02B04" w:rsidRPr="00B4570A">
        <w:t xml:space="preserve">shape understanding </w:t>
      </w:r>
      <w:r w:rsidR="003D32C7">
        <w:t xml:space="preserve">differently than </w:t>
      </w:r>
      <w:r w:rsidR="00345158">
        <w:t>purely textual accounts</w:t>
      </w:r>
      <w:r w:rsidR="00290B9D">
        <w:t xml:space="preserve">. </w:t>
      </w:r>
      <w:r w:rsidR="00673360">
        <w:t>For example</w:t>
      </w:r>
      <w:r>
        <w:t xml:space="preserve">, </w:t>
      </w:r>
      <w:r w:rsidR="00C72A77">
        <w:t xml:space="preserve">the </w:t>
      </w:r>
      <w:r w:rsidR="00C72A77" w:rsidRPr="00670503">
        <w:rPr>
          <w:i/>
          <w:iCs/>
        </w:rPr>
        <w:t xml:space="preserve">Seven Tathāgatas </w:t>
      </w:r>
      <w:r w:rsidR="00C72A77">
        <w:rPr>
          <w:i/>
          <w:iCs/>
        </w:rPr>
        <w:t>S</w:t>
      </w:r>
      <w:r w:rsidR="00C72A77" w:rsidRPr="00670503">
        <w:rPr>
          <w:i/>
          <w:iCs/>
        </w:rPr>
        <w:t>ūtra</w:t>
      </w:r>
      <w:r w:rsidR="00C72A77">
        <w:t xml:space="preserve"> at the center of</w:t>
      </w:r>
      <w:r w:rsidR="00345158">
        <w:t xml:space="preserve"> </w:t>
      </w:r>
      <w:r w:rsidR="00146E73">
        <w:t xml:space="preserve">the </w:t>
      </w:r>
      <w:r w:rsidR="00C72A77">
        <w:t xml:space="preserve">Medicine Buddha </w:t>
      </w:r>
      <w:r w:rsidR="006463C8">
        <w:t>m</w:t>
      </w:r>
      <w:r w:rsidR="00C72A77">
        <w:t>andala</w:t>
      </w:r>
      <w:r w:rsidR="00345158">
        <w:t xml:space="preserve"> </w:t>
      </w:r>
      <w:r>
        <w:t xml:space="preserve">is not </w:t>
      </w:r>
      <w:r w:rsidR="00C72A77">
        <w:t xml:space="preserve">obviously </w:t>
      </w:r>
      <w:r>
        <w:t xml:space="preserve">a book </w:t>
      </w:r>
      <w:r w:rsidR="00C72A77">
        <w:t xml:space="preserve">in any colloquial sense of the </w:t>
      </w:r>
      <w:r w:rsidR="00673360">
        <w:t>term</w:t>
      </w:r>
      <w:r w:rsidR="00C72A77">
        <w:t>; it is</w:t>
      </w:r>
      <w:r>
        <w:t xml:space="preserve"> an image of </w:t>
      </w:r>
      <w:r w:rsidR="00345158">
        <w:t xml:space="preserve">a </w:t>
      </w:r>
      <w:r>
        <w:t>book.</w:t>
      </w:r>
      <w:r w:rsidR="003D32C7">
        <w:t xml:space="preserve"> </w:t>
      </w:r>
      <w:r w:rsidR="00CC242F">
        <w:t>Moreover</w:t>
      </w:r>
      <w:r>
        <w:t xml:space="preserve">, </w:t>
      </w:r>
      <w:r w:rsidR="00345158">
        <w:rPr>
          <w:i/>
          <w:iCs/>
        </w:rPr>
        <w:t>T</w:t>
      </w:r>
      <w:r w:rsidR="00345158" w:rsidRPr="0076124E">
        <w:rPr>
          <w:i/>
          <w:iCs/>
        </w:rPr>
        <w:t>he Wish-Fulfilling King</w:t>
      </w:r>
      <w:r w:rsidR="00345158">
        <w:t xml:space="preserve"> is </w:t>
      </w:r>
      <w:r w:rsidR="00673360">
        <w:t xml:space="preserve">a </w:t>
      </w:r>
      <w:r w:rsidR="00345158">
        <w:t xml:space="preserve">ritual manual that </w:t>
      </w:r>
      <w:r w:rsidR="00CC242F">
        <w:t xml:space="preserve">prescribes </w:t>
      </w:r>
      <w:r w:rsidR="00345158">
        <w:t xml:space="preserve">the proper way to venerate the </w:t>
      </w:r>
      <w:r w:rsidR="00345158" w:rsidRPr="00670503">
        <w:rPr>
          <w:i/>
          <w:iCs/>
        </w:rPr>
        <w:t xml:space="preserve">Seven Tathāgatas </w:t>
      </w:r>
      <w:r w:rsidR="00345158">
        <w:rPr>
          <w:i/>
          <w:iCs/>
        </w:rPr>
        <w:t>S</w:t>
      </w:r>
      <w:r w:rsidR="00345158" w:rsidRPr="00670503">
        <w:rPr>
          <w:i/>
          <w:iCs/>
        </w:rPr>
        <w:t>ūtra</w:t>
      </w:r>
      <w:r w:rsidR="00345158">
        <w:t xml:space="preserve">. </w:t>
      </w:r>
      <w:r w:rsidR="00673360">
        <w:t xml:space="preserve">The </w:t>
      </w:r>
      <w:r w:rsidR="0003584F">
        <w:t>implications</w:t>
      </w:r>
      <w:r w:rsidR="00673360">
        <w:t xml:space="preserve"> of these visual and performative </w:t>
      </w:r>
      <w:r w:rsidR="0003584F">
        <w:t>elements</w:t>
      </w:r>
      <w:r w:rsidR="00673360">
        <w:t xml:space="preserve"> </w:t>
      </w:r>
      <w:r w:rsidR="0003584F">
        <w:t xml:space="preserve">contribute to </w:t>
      </w:r>
      <w:r w:rsidR="00A057E8">
        <w:t>an</w:t>
      </w:r>
      <w:r w:rsidR="0003584F">
        <w:t xml:space="preserve"> overall conception of what a book </w:t>
      </w:r>
      <w:r w:rsidR="00120F64">
        <w:t xml:space="preserve">is </w:t>
      </w:r>
      <w:r w:rsidR="0003584F">
        <w:t>in Buddhism</w:t>
      </w:r>
      <w:r w:rsidR="00CC242F">
        <w:t>. E</w:t>
      </w:r>
      <w:r w:rsidR="0003584F">
        <w:t>ngag</w:t>
      </w:r>
      <w:r w:rsidR="00A057E8">
        <w:t>ing</w:t>
      </w:r>
      <w:r w:rsidR="0003584F">
        <w:t xml:space="preserve"> </w:t>
      </w:r>
      <w:r w:rsidR="00120F64">
        <w:t>them</w:t>
      </w:r>
      <w:r w:rsidR="0003584F">
        <w:t xml:space="preserve"> alongside textual </w:t>
      </w:r>
      <w:r w:rsidR="00A057E8">
        <w:t>accounts</w:t>
      </w:r>
      <w:r w:rsidR="00D6093D">
        <w:t xml:space="preserve"> </w:t>
      </w:r>
      <w:r w:rsidR="00B869D3">
        <w:t>demonstrate how the textual</w:t>
      </w:r>
      <w:r w:rsidR="008D23AE">
        <w:t xml:space="preserve">, visual, and ritual </w:t>
      </w:r>
      <w:r w:rsidR="00B869D3">
        <w:t xml:space="preserve">dimensions come together in this </w:t>
      </w:r>
      <w:r w:rsidR="00120F64">
        <w:t xml:space="preserve">specific tradition </w:t>
      </w:r>
      <w:r w:rsidR="00B869D3">
        <w:t>to express the possibility of books being</w:t>
      </w:r>
      <w:r w:rsidR="00CA19C0">
        <w:t xml:space="preserve"> </w:t>
      </w:r>
      <w:r w:rsidR="00B869D3">
        <w:t xml:space="preserve">buddhas. </w:t>
      </w:r>
      <w:r w:rsidR="00CC242F">
        <w:t>This possibility evinces a different</w:t>
      </w:r>
      <w:r w:rsidR="00CC242F" w:rsidRPr="006A47A0">
        <w:t xml:space="preserve"> conception of materiality</w:t>
      </w:r>
      <w:r w:rsidR="00CC242F">
        <w:t xml:space="preserve">, </w:t>
      </w:r>
      <w:r w:rsidR="00836D0A">
        <w:t xml:space="preserve">which, taken seriously, has the </w:t>
      </w:r>
      <w:r w:rsidR="00CC242F" w:rsidRPr="006A47A0">
        <w:t>potential to</w:t>
      </w:r>
      <w:r w:rsidR="00CC242F">
        <w:t xml:space="preserve"> greatly enrich the </w:t>
      </w:r>
      <w:r w:rsidR="00A52044">
        <w:t>Anglophone</w:t>
      </w:r>
      <w:r w:rsidR="00CC242F">
        <w:t xml:space="preserve"> canon</w:t>
      </w:r>
      <w:r w:rsidR="00CC242F" w:rsidRPr="006A47A0">
        <w:t xml:space="preserve"> </w:t>
      </w:r>
      <w:r w:rsidR="00CC242F">
        <w:t xml:space="preserve">in material studies by </w:t>
      </w:r>
      <w:r w:rsidR="00CC242F" w:rsidRPr="006A47A0">
        <w:t>rearticulat</w:t>
      </w:r>
      <w:r w:rsidR="00CC242F">
        <w:t>ing</w:t>
      </w:r>
      <w:r w:rsidR="00CC242F" w:rsidRPr="006A47A0">
        <w:t xml:space="preserve"> the prevailing view</w:t>
      </w:r>
      <w:r w:rsidR="00CC242F">
        <w:t xml:space="preserve"> </w:t>
      </w:r>
      <w:r w:rsidR="00CC242F" w:rsidRPr="00575BC5">
        <w:t>that</w:t>
      </w:r>
      <w:r w:rsidR="00CC242F">
        <w:t xml:space="preserve"> treats objects like books</w:t>
      </w:r>
      <w:r w:rsidR="00CC242F" w:rsidRPr="00575BC5">
        <w:t xml:space="preserve"> </w:t>
      </w:r>
      <w:r w:rsidR="00CC242F">
        <w:t>as</w:t>
      </w:r>
      <w:r w:rsidR="00CC242F" w:rsidRPr="00575BC5">
        <w:t xml:space="preserve"> passive</w:t>
      </w:r>
      <w:r w:rsidR="00CC242F">
        <w:t xml:space="preserve"> rather than active and agentive</w:t>
      </w:r>
      <w:r w:rsidR="00233DAE">
        <w:t>.</w:t>
      </w:r>
    </w:p>
    <w:p w14:paraId="1F693088" w14:textId="2683CA70" w:rsidR="00851D3E" w:rsidRPr="00851D3E" w:rsidRDefault="00973806" w:rsidP="00851D3E">
      <w:pPr>
        <w:pStyle w:val="Heading2"/>
      </w:pPr>
      <w:r>
        <w:t>5</w:t>
      </w:r>
      <w:r w:rsidR="00C158DD">
        <w:t xml:space="preserve">. Proposed Chapter Outline </w:t>
      </w:r>
    </w:p>
    <w:p w14:paraId="240961D2" w14:textId="3EC7AFEA" w:rsidR="00851D3E" w:rsidRPr="00032AB8" w:rsidRDefault="00851D3E" w:rsidP="00851D3E">
      <w:pPr>
        <w:pStyle w:val="Heading3"/>
        <w:rPr>
          <w:b/>
          <w:bCs/>
        </w:rPr>
      </w:pPr>
      <w:r w:rsidRPr="00032AB8">
        <w:rPr>
          <w:b/>
          <w:bCs/>
        </w:rPr>
        <w:t xml:space="preserve">Chapter </w:t>
      </w:r>
      <w:r>
        <w:rPr>
          <w:b/>
          <w:bCs/>
        </w:rPr>
        <w:t>1</w:t>
      </w:r>
      <w:r w:rsidRPr="00032AB8">
        <w:rPr>
          <w:b/>
          <w:bCs/>
        </w:rPr>
        <w:t xml:space="preserve">: </w:t>
      </w:r>
      <w:r>
        <w:rPr>
          <w:b/>
          <w:bCs/>
        </w:rPr>
        <w:t>Books as Buddhas</w:t>
      </w:r>
    </w:p>
    <w:p w14:paraId="16FA8B3C" w14:textId="340AC3CF" w:rsidR="00851D3E" w:rsidRDefault="00851D3E" w:rsidP="00851D3E"/>
    <w:p w14:paraId="110C521D" w14:textId="77777777" w:rsidR="00814967" w:rsidRDefault="0062186F" w:rsidP="00814967">
      <w:pPr>
        <w:spacing w:line="480" w:lineRule="auto"/>
        <w:ind w:firstLine="720"/>
      </w:pPr>
      <w:r w:rsidRPr="007856DF">
        <w:t xml:space="preserve">Chapter 1 considers </w:t>
      </w:r>
      <w:r w:rsidR="008062B1">
        <w:t xml:space="preserve">textual </w:t>
      </w:r>
      <w:r w:rsidRPr="007856DF">
        <w:t xml:space="preserve">precedents within Buddhism for books </w:t>
      </w:r>
      <w:r w:rsidR="00866928">
        <w:t>being</w:t>
      </w:r>
      <w:r w:rsidRPr="007856DF">
        <w:t xml:space="preserve"> buddhas.</w:t>
      </w:r>
      <w:r w:rsidR="00B221E4">
        <w:t xml:space="preserve"> </w:t>
      </w:r>
      <w:r w:rsidR="00FA4ED4">
        <w:t xml:space="preserve">Since the early history of Buddhism, Buddhists </w:t>
      </w:r>
      <w:r w:rsidR="00F7150D">
        <w:t xml:space="preserve">have placed </w:t>
      </w:r>
      <w:r w:rsidR="00B221E4">
        <w:t xml:space="preserve">different emphasis on what dimension of the Buddha </w:t>
      </w:r>
      <w:r w:rsidR="00866928">
        <w:t>is expressed in scripture</w:t>
      </w:r>
      <w:r w:rsidR="00B221E4">
        <w:t xml:space="preserve">. </w:t>
      </w:r>
      <w:r w:rsidR="00304040">
        <w:t>According to the Pāli canon, t</w:t>
      </w:r>
      <w:r w:rsidR="00FB41D1">
        <w:t>he Buddha</w:t>
      </w:r>
      <w:r w:rsidR="00507B63">
        <w:t>’s utterances</w:t>
      </w:r>
      <w:r w:rsidR="00FB41D1">
        <w:t xml:space="preserve"> are not merely words, </w:t>
      </w:r>
      <w:r w:rsidR="00304040">
        <w:t xml:space="preserve">but </w:t>
      </w:r>
      <w:r w:rsidR="00507B63">
        <w:t>he</w:t>
      </w:r>
      <w:r w:rsidR="00FB41D1">
        <w:t xml:space="preserve"> is present in them</w:t>
      </w:r>
      <w:r w:rsidR="006766D3">
        <w:t>.</w:t>
      </w:r>
      <w:r w:rsidR="00866928">
        <w:t xml:space="preserve"> </w:t>
      </w:r>
      <w:r w:rsidR="00FB41D1">
        <w:t xml:space="preserve">For </w:t>
      </w:r>
      <w:r w:rsidR="00022013">
        <w:t>example</w:t>
      </w:r>
      <w:r w:rsidR="00FB41D1">
        <w:t>, the</w:t>
      </w:r>
      <w:r w:rsidR="00DE08D5" w:rsidRPr="00634D59">
        <w:rPr>
          <w:i/>
          <w:iCs/>
        </w:rPr>
        <w:t xml:space="preserve"> Mahāparinibā</w:t>
      </w:r>
      <w:r w:rsidR="00DE08D5">
        <w:rPr>
          <w:i/>
          <w:iCs/>
        </w:rPr>
        <w:t>ṇ</w:t>
      </w:r>
      <w:r w:rsidR="00DE08D5" w:rsidRPr="00634D59">
        <w:rPr>
          <w:i/>
          <w:iCs/>
        </w:rPr>
        <w:t xml:space="preserve">a </w:t>
      </w:r>
      <w:r w:rsidR="00DE08D5">
        <w:rPr>
          <w:i/>
          <w:iCs/>
        </w:rPr>
        <w:t>S</w:t>
      </w:r>
      <w:r w:rsidR="00DE08D5" w:rsidRPr="00634D59">
        <w:rPr>
          <w:i/>
          <w:iCs/>
        </w:rPr>
        <w:t>utta</w:t>
      </w:r>
      <w:r w:rsidR="00DE08D5">
        <w:t xml:space="preserve"> (</w:t>
      </w:r>
      <w:r w:rsidR="00DE08D5" w:rsidRPr="00DF68C6">
        <w:rPr>
          <w:i/>
          <w:iCs/>
        </w:rPr>
        <w:t>Great Nirvana-After-Death Sūtra</w:t>
      </w:r>
      <w:r w:rsidR="00DE08D5">
        <w:t>)</w:t>
      </w:r>
      <w:r w:rsidR="00DF68C6">
        <w:t xml:space="preserve"> </w:t>
      </w:r>
      <w:r w:rsidR="00FB41D1">
        <w:t>maintains that</w:t>
      </w:r>
      <w:r w:rsidR="00210830">
        <w:t xml:space="preserve"> </w:t>
      </w:r>
      <w:r w:rsidR="006766D3">
        <w:t>once the Buddha has died, the</w:t>
      </w:r>
      <w:r w:rsidR="00FB41D1">
        <w:t xml:space="preserve"> words </w:t>
      </w:r>
      <w:r w:rsidR="00DE08D5" w:rsidRPr="00651C3F">
        <w:t>are the teacher.</w:t>
      </w:r>
      <w:r w:rsidR="00DE08D5" w:rsidRPr="00651C3F">
        <w:rPr>
          <w:rStyle w:val="FootnoteReference"/>
        </w:rPr>
        <w:footnoteReference w:id="2"/>
      </w:r>
      <w:r w:rsidR="002570EC">
        <w:t xml:space="preserve"> In addition to being able to hear the</w:t>
      </w:r>
      <w:r w:rsidR="00EF3A17">
        <w:t xml:space="preserve"> Buddha in the words he spoke,</w:t>
      </w:r>
      <w:r w:rsidR="00D637D0">
        <w:t xml:space="preserve"> </w:t>
      </w:r>
      <w:r w:rsidR="00E72757" w:rsidRPr="00651C3F">
        <w:t>Mah</w:t>
      </w:r>
      <w:r w:rsidR="00DE08D5" w:rsidRPr="00651C3F">
        <w:t>ā</w:t>
      </w:r>
      <w:r w:rsidR="00E72757" w:rsidRPr="00651C3F">
        <w:t>y</w:t>
      </w:r>
      <w:r w:rsidR="00DE08D5" w:rsidRPr="00651C3F">
        <w:t>ā</w:t>
      </w:r>
      <w:r w:rsidR="00E72757" w:rsidRPr="00651C3F">
        <w:t>na</w:t>
      </w:r>
      <w:r w:rsidR="006766D3">
        <w:t xml:space="preserve"> sūtras </w:t>
      </w:r>
      <w:r w:rsidR="00EF3A17">
        <w:t xml:space="preserve">acknowledge he </w:t>
      </w:r>
      <w:r w:rsidR="003354F0">
        <w:t xml:space="preserve">is </w:t>
      </w:r>
      <w:r w:rsidR="0018633B">
        <w:t>immanently</w:t>
      </w:r>
      <w:r w:rsidR="003354F0">
        <w:t xml:space="preserve"> visible</w:t>
      </w:r>
      <w:r w:rsidR="00EF3A17">
        <w:t xml:space="preserve">. </w:t>
      </w:r>
      <w:r w:rsidR="00E72757" w:rsidRPr="00651C3F">
        <w:t xml:space="preserve">The </w:t>
      </w:r>
      <w:r w:rsidR="00E72757" w:rsidRPr="00651C3F">
        <w:rPr>
          <w:i/>
          <w:iCs/>
        </w:rPr>
        <w:t xml:space="preserve">Śālistamba </w:t>
      </w:r>
      <w:r w:rsidR="00DF68C6">
        <w:rPr>
          <w:i/>
          <w:iCs/>
        </w:rPr>
        <w:t>S</w:t>
      </w:r>
      <w:r w:rsidR="00E72757" w:rsidRPr="00651C3F">
        <w:rPr>
          <w:i/>
          <w:iCs/>
        </w:rPr>
        <w:t>ūtra</w:t>
      </w:r>
      <w:r w:rsidR="00E72757" w:rsidRPr="00651C3F">
        <w:t xml:space="preserve"> (</w:t>
      </w:r>
      <w:r w:rsidR="00E72757" w:rsidRPr="00BC4890">
        <w:rPr>
          <w:i/>
          <w:iCs/>
        </w:rPr>
        <w:t>Rice Seedling S</w:t>
      </w:r>
      <w:r w:rsidR="00563B37" w:rsidRPr="00BC4890">
        <w:rPr>
          <w:i/>
          <w:iCs/>
        </w:rPr>
        <w:t>ū</w:t>
      </w:r>
      <w:r w:rsidR="00E72757" w:rsidRPr="00BC4890">
        <w:rPr>
          <w:i/>
          <w:iCs/>
        </w:rPr>
        <w:t>tra</w:t>
      </w:r>
      <w:r w:rsidR="00E72757" w:rsidRPr="00651C3F">
        <w:t xml:space="preserve">), for </w:t>
      </w:r>
      <w:r w:rsidR="00022013">
        <w:t>instance</w:t>
      </w:r>
      <w:r w:rsidR="00E72757" w:rsidRPr="00651C3F">
        <w:t xml:space="preserve">, </w:t>
      </w:r>
      <w:r w:rsidR="00E72757" w:rsidRPr="00651C3F">
        <w:lastRenderedPageBreak/>
        <w:t>equates the Buddha and dependent origination (</w:t>
      </w:r>
      <w:r w:rsidR="00A57221">
        <w:t>a</w:t>
      </w:r>
      <w:r w:rsidR="00E72757" w:rsidRPr="00651C3F">
        <w:t xml:space="preserve"> doctrine </w:t>
      </w:r>
      <w:r w:rsidR="00A57221">
        <w:t>about the nature of reality</w:t>
      </w:r>
      <w:r w:rsidR="00E72757" w:rsidRPr="00651C3F">
        <w:t xml:space="preserve">): “Whoever, monks perceives </w:t>
      </w:r>
      <w:r w:rsidR="00E72757" w:rsidRPr="00711C1C">
        <w:t>dependent origination, perceives the dharma. Whoever sees the dharma, sees the Buddha.”</w:t>
      </w:r>
      <w:r w:rsidR="00E72757" w:rsidRPr="00711C1C">
        <w:rPr>
          <w:rStyle w:val="FootnoteReference"/>
        </w:rPr>
        <w:footnoteReference w:id="3"/>
      </w:r>
      <w:r w:rsidR="00E72757" w:rsidRPr="00711C1C">
        <w:t xml:space="preserve"> </w:t>
      </w:r>
    </w:p>
    <w:p w14:paraId="00EAC207" w14:textId="1E0A6D35" w:rsidR="0018633B" w:rsidRDefault="0018633B" w:rsidP="00814967">
      <w:pPr>
        <w:spacing w:line="480" w:lineRule="auto"/>
        <w:ind w:firstLine="720"/>
      </w:pPr>
      <w:r>
        <w:t xml:space="preserve">The </w:t>
      </w:r>
      <w:r w:rsidR="00E50E9C">
        <w:t xml:space="preserve">parity </w:t>
      </w:r>
      <w:r w:rsidR="00E50E9C" w:rsidRPr="00651C3F">
        <w:t>Mahāyāna</w:t>
      </w:r>
      <w:r w:rsidR="00E50E9C">
        <w:t xml:space="preserve"> s</w:t>
      </w:r>
      <w:r w:rsidR="003354F0">
        <w:t>ū</w:t>
      </w:r>
      <w:r w:rsidR="00E50E9C">
        <w:t xml:space="preserve">tras draw between </w:t>
      </w:r>
      <w:r w:rsidR="00E50E9C" w:rsidRPr="00711C1C">
        <w:t xml:space="preserve">the Buddha, his teachings (the </w:t>
      </w:r>
      <w:r w:rsidR="00E50E9C" w:rsidRPr="00711C1C">
        <w:rPr>
          <w:i/>
          <w:iCs/>
        </w:rPr>
        <w:t>dharma</w:t>
      </w:r>
      <w:r w:rsidR="00E50E9C" w:rsidRPr="00711C1C">
        <w:t>), and ultimate reality (expressed as dependent origination or emptiness)</w:t>
      </w:r>
      <w:r w:rsidR="00E50E9C">
        <w:t xml:space="preserve"> make</w:t>
      </w:r>
      <w:r w:rsidR="00304040">
        <w:t>s</w:t>
      </w:r>
      <w:r w:rsidR="00E50E9C">
        <w:t xml:space="preserve"> the Buddha omnipresent, </w:t>
      </w:r>
      <w:r>
        <w:t xml:space="preserve">but </w:t>
      </w:r>
      <w:r w:rsidR="00E50E9C">
        <w:t xml:space="preserve">it is not easy to perceive the omnipresent nature of the Buddha. Consequently, in the Tibetan context, </w:t>
      </w:r>
      <w:r w:rsidR="00DF6CBD">
        <w:t xml:space="preserve">tantric </w:t>
      </w:r>
      <w:r w:rsidR="00E50E9C">
        <w:t xml:space="preserve">practices develop </w:t>
      </w:r>
      <w:r w:rsidR="00304040">
        <w:t>that</w:t>
      </w:r>
      <w:r w:rsidR="00FE0E50">
        <w:t xml:space="preserve"> localize </w:t>
      </w:r>
      <w:r w:rsidR="00E50E9C">
        <w:t xml:space="preserve">the Buddha in certain </w:t>
      </w:r>
      <w:r w:rsidR="00304040">
        <w:t xml:space="preserve">easily identifiable </w:t>
      </w:r>
      <w:r w:rsidR="00E50E9C">
        <w:t>objects</w:t>
      </w:r>
      <w:r w:rsidR="00DF6CBD">
        <w:t>.</w:t>
      </w:r>
      <w:r w:rsidR="00E50E9C">
        <w:t xml:space="preserve"> </w:t>
      </w:r>
      <w:r w:rsidR="00DF6CBD">
        <w:t xml:space="preserve">These activities </w:t>
      </w:r>
      <w:r w:rsidR="00B221E4" w:rsidRPr="00711C1C">
        <w:t xml:space="preserve">bring the parity between </w:t>
      </w:r>
      <w:r w:rsidR="00E50E9C">
        <w:t xml:space="preserve">the Buddha, </w:t>
      </w:r>
      <w:r w:rsidR="00E50E9C" w:rsidRPr="00DF6CBD">
        <w:rPr>
          <w:i/>
          <w:iCs/>
        </w:rPr>
        <w:t>dharma</w:t>
      </w:r>
      <w:r w:rsidR="00E50E9C">
        <w:t xml:space="preserve">, and ultimate reality </w:t>
      </w:r>
      <w:r w:rsidR="00C76AC9">
        <w:t xml:space="preserve">more squarely </w:t>
      </w:r>
      <w:r w:rsidR="00B221E4" w:rsidRPr="00711C1C">
        <w:t>into the bounds of perception</w:t>
      </w:r>
      <w:r w:rsidR="00E50E9C">
        <w:t xml:space="preserve"> for those who do not yet recognize the Buddha</w:t>
      </w:r>
      <w:r w:rsidR="00304040">
        <w:t>’s omnipresent nature</w:t>
      </w:r>
      <w:r w:rsidR="00711C1C" w:rsidRPr="00711C1C">
        <w:t xml:space="preserve">. Following the consecration of a book, for example, Duldzin Dragpa Gyaltsen (‘dul ‘dzin grags pa rgyal mtshan, 1374-1434) calls practitioners to recognize that the </w:t>
      </w:r>
      <w:r w:rsidR="007F0849">
        <w:t>awakened being (</w:t>
      </w:r>
      <w:r w:rsidR="007F0849" w:rsidRPr="007F0849">
        <w:rPr>
          <w:i/>
          <w:iCs/>
        </w:rPr>
        <w:t>yi dam</w:t>
      </w:r>
      <w:r w:rsidR="007F0849">
        <w:t xml:space="preserve">) </w:t>
      </w:r>
      <w:r w:rsidR="00711C1C" w:rsidRPr="00711C1C">
        <w:t xml:space="preserve">has </w:t>
      </w:r>
      <w:r w:rsidR="007F0849">
        <w:t>taken “</w:t>
      </w:r>
      <w:r w:rsidR="00711C1C" w:rsidRPr="00711C1C">
        <w:t>the form of letters.”</w:t>
      </w:r>
      <w:r w:rsidR="007F0849">
        <w:rPr>
          <w:rStyle w:val="FootnoteReference"/>
        </w:rPr>
        <w:footnoteReference w:id="4"/>
      </w:r>
      <w:r w:rsidR="007F0849">
        <w:t xml:space="preserve"> </w:t>
      </w:r>
    </w:p>
    <w:p w14:paraId="5B75B653" w14:textId="742A6F32" w:rsidR="00651C3F" w:rsidRPr="00651C3F" w:rsidRDefault="00233DAE" w:rsidP="002F51D2">
      <w:pPr>
        <w:spacing w:line="480" w:lineRule="auto"/>
        <w:ind w:firstLine="720"/>
      </w:pPr>
      <w:r>
        <w:t>This</w:t>
      </w:r>
      <w:r w:rsidR="00427781">
        <w:t xml:space="preserve"> </w:t>
      </w:r>
      <w:r w:rsidR="00106E08">
        <w:t xml:space="preserve">chapter </w:t>
      </w:r>
      <w:r w:rsidR="00CA6DCA">
        <w:t xml:space="preserve">complements other studies that </w:t>
      </w:r>
      <w:r w:rsidR="00427781">
        <w:t>draw</w:t>
      </w:r>
      <w:r w:rsidR="00CA6DCA">
        <w:t xml:space="preserve"> </w:t>
      </w:r>
      <w:r w:rsidR="00427781">
        <w:t>from Pāli and Mahāyāna</w:t>
      </w:r>
      <w:r w:rsidR="00427781">
        <w:rPr>
          <w:rFonts w:eastAsia="Times New Roman"/>
          <w:color w:val="000000"/>
          <w:lang w:bidi="bo-CN"/>
        </w:rPr>
        <w:t xml:space="preserve"> sources</w:t>
      </w:r>
      <w:r w:rsidR="008109FE">
        <w:rPr>
          <w:rFonts w:eastAsia="Times New Roman"/>
          <w:color w:val="000000"/>
          <w:lang w:bidi="bo-CN"/>
        </w:rPr>
        <w:t xml:space="preserve"> </w:t>
      </w:r>
      <w:r w:rsidR="00CA6DCA">
        <w:rPr>
          <w:rFonts w:eastAsia="Times New Roman"/>
          <w:color w:val="000000"/>
          <w:lang w:bidi="bo-CN"/>
        </w:rPr>
        <w:t xml:space="preserve">to think about </w:t>
      </w:r>
      <w:r w:rsidR="00CA6DCA">
        <w:t xml:space="preserve">textual precedents for </w:t>
      </w:r>
      <w:r w:rsidR="0018633B">
        <w:t>books being buddhas</w:t>
      </w:r>
      <w:r w:rsidR="00CA6DCA">
        <w:t xml:space="preserve"> (Schopen 1975; Eubanks 2011; Kim 2013). Yet, </w:t>
      </w:r>
      <w:r w:rsidR="0018633B">
        <w:rPr>
          <w:rFonts w:eastAsia="Times New Roman"/>
          <w:color w:val="000000"/>
          <w:lang w:bidi="bo-CN"/>
        </w:rPr>
        <w:t xml:space="preserve">it </w:t>
      </w:r>
      <w:r w:rsidR="00CA6DCA">
        <w:rPr>
          <w:rFonts w:eastAsia="Times New Roman"/>
          <w:color w:val="000000"/>
          <w:lang w:bidi="bo-CN"/>
        </w:rPr>
        <w:t xml:space="preserve">also goes beyond them, and </w:t>
      </w:r>
      <w:r w:rsidR="00CA6DCA">
        <w:t xml:space="preserve">attends to Pure Land and tantric texts in a Tibetan context. This </w:t>
      </w:r>
      <w:r w:rsidR="00106E08">
        <w:t xml:space="preserve">approach broadens the current discourse </w:t>
      </w:r>
      <w:r w:rsidR="003354F0">
        <w:t xml:space="preserve">on the nature of Buddhist books </w:t>
      </w:r>
      <w:r w:rsidR="00106E08">
        <w:t xml:space="preserve">and </w:t>
      </w:r>
      <w:r w:rsidR="008109FE">
        <w:t>deepens our</w:t>
      </w:r>
      <w:r w:rsidR="00106E08">
        <w:t xml:space="preserve"> appreciat</w:t>
      </w:r>
      <w:r w:rsidR="008109FE">
        <w:t>ion of</w:t>
      </w:r>
      <w:r w:rsidR="00106E08">
        <w:t xml:space="preserve"> </w:t>
      </w:r>
      <w:r w:rsidR="00106E08">
        <w:rPr>
          <w:rFonts w:eastAsia="Times New Roman"/>
          <w:color w:val="000000"/>
          <w:lang w:bidi="bo-CN"/>
        </w:rPr>
        <w:t xml:space="preserve">the </w:t>
      </w:r>
      <w:r w:rsidR="00106E08">
        <w:t>handful</w:t>
      </w:r>
      <w:r w:rsidR="00106E08" w:rsidRPr="00651C3F">
        <w:t xml:space="preserve"> of registers through which </w:t>
      </w:r>
      <w:r w:rsidR="008109FE">
        <w:t xml:space="preserve">scriptural materials express the Buddha.  </w:t>
      </w:r>
      <w:r w:rsidR="00106E08">
        <w:t xml:space="preserve">  </w:t>
      </w:r>
    </w:p>
    <w:p w14:paraId="3602060D" w14:textId="46767769" w:rsidR="00851D3E" w:rsidRPr="00032AB8" w:rsidRDefault="00851D3E" w:rsidP="00851D3E">
      <w:pPr>
        <w:pStyle w:val="Heading3"/>
        <w:rPr>
          <w:b/>
          <w:bCs/>
        </w:rPr>
      </w:pPr>
      <w:r>
        <w:rPr>
          <w:b/>
          <w:bCs/>
        </w:rPr>
        <w:t xml:space="preserve">Chapter </w:t>
      </w:r>
      <w:r w:rsidRPr="00032AB8">
        <w:rPr>
          <w:b/>
          <w:bCs/>
        </w:rPr>
        <w:t>2</w:t>
      </w:r>
      <w:r>
        <w:rPr>
          <w:b/>
          <w:bCs/>
        </w:rPr>
        <w:t>:</w:t>
      </w:r>
      <w:r w:rsidRPr="00032AB8">
        <w:rPr>
          <w:b/>
          <w:bCs/>
        </w:rPr>
        <w:t xml:space="preserve"> </w:t>
      </w:r>
      <w:r w:rsidR="00DF688D">
        <w:rPr>
          <w:b/>
          <w:bCs/>
        </w:rPr>
        <w:t xml:space="preserve">Images of Books as Buddhas: </w:t>
      </w:r>
      <w:r w:rsidRPr="00032AB8">
        <w:rPr>
          <w:b/>
          <w:bCs/>
        </w:rPr>
        <w:t>Medicine Buddha Mandalas</w:t>
      </w:r>
    </w:p>
    <w:p w14:paraId="06AEE596" w14:textId="77777777" w:rsidR="00851D3E" w:rsidRDefault="00851D3E" w:rsidP="00851D3E"/>
    <w:p w14:paraId="2FCB6A15" w14:textId="0251AE15" w:rsidR="00C07DB5" w:rsidRDefault="00851D3E" w:rsidP="00E769CC">
      <w:pPr>
        <w:spacing w:line="480" w:lineRule="auto"/>
        <w:ind w:firstLine="720"/>
      </w:pPr>
      <w:r>
        <w:t xml:space="preserve">Chapter 2 </w:t>
      </w:r>
      <w:r w:rsidR="006F13E3">
        <w:t xml:space="preserve">concerns the current state scholarship on Medicine Buddha </w:t>
      </w:r>
      <w:r w:rsidR="006463C8">
        <w:t>m</w:t>
      </w:r>
      <w:r w:rsidR="006F13E3">
        <w:t xml:space="preserve">andalas, provides the first extended analysis of a </w:t>
      </w:r>
      <w:r w:rsidR="006F13E3" w:rsidRPr="003D461C">
        <w:t xml:space="preserve">Medicine Buddha </w:t>
      </w:r>
      <w:r w:rsidR="002A4A59">
        <w:t>with a text</w:t>
      </w:r>
      <w:r w:rsidR="006F13E3">
        <w:t xml:space="preserve">, and lays the groundwork for </w:t>
      </w:r>
      <w:r w:rsidR="006F13E3">
        <w:lastRenderedPageBreak/>
        <w:t xml:space="preserve">thinking about the relationship between books and images of books. </w:t>
      </w:r>
      <w:r w:rsidR="006F0C87">
        <w:t>Depictions of the seven buddhas of healing</w:t>
      </w:r>
      <w:r w:rsidR="004B45DE">
        <w:t xml:space="preserve"> </w:t>
      </w:r>
      <w:r w:rsidR="006F0C87">
        <w:t>likely emerge</w:t>
      </w:r>
      <w:r w:rsidR="004B45DE">
        <w:t xml:space="preserve"> in </w:t>
      </w:r>
      <w:r w:rsidR="00D703B3">
        <w:t>a</w:t>
      </w:r>
      <w:r w:rsidR="00576540">
        <w:t xml:space="preserve"> </w:t>
      </w:r>
      <w:r w:rsidR="004B45DE">
        <w:t>fifteenth century Tibet</w:t>
      </w:r>
      <w:r w:rsidR="007869EA">
        <w:t>an context</w:t>
      </w:r>
      <w:r w:rsidR="001014AE">
        <w:t xml:space="preserve"> (Luczanits 2020)</w:t>
      </w:r>
      <w:r w:rsidR="004B45DE">
        <w:t>.</w:t>
      </w:r>
      <w:r w:rsidR="004B45DE" w:rsidRPr="004B45DE">
        <w:t xml:space="preserve"> </w:t>
      </w:r>
      <w:r w:rsidR="004B45DE">
        <w:t xml:space="preserve">During this period, the deity </w:t>
      </w:r>
      <w:r w:rsidR="004B45DE" w:rsidRPr="00AF492B">
        <w:t>Prajñāpāramitā</w:t>
      </w:r>
      <w:r w:rsidR="004B45DE">
        <w:t xml:space="preserve">, a female embodiment of the </w:t>
      </w:r>
      <w:r w:rsidR="004B45DE" w:rsidRPr="00AF492B">
        <w:t>Perfection of Wisdom</w:t>
      </w:r>
      <w:r w:rsidR="004B45DE">
        <w:rPr>
          <w:i/>
          <w:iCs/>
        </w:rPr>
        <w:t xml:space="preserve"> </w:t>
      </w:r>
      <w:r w:rsidR="004B45DE">
        <w:t xml:space="preserve">genre, </w:t>
      </w:r>
      <w:r w:rsidR="00D703B3">
        <w:t xml:space="preserve">is </w:t>
      </w:r>
      <w:r w:rsidR="004B45DE">
        <w:t xml:space="preserve">sometimes </w:t>
      </w:r>
      <w:r w:rsidR="00D703B3">
        <w:t>depicted</w:t>
      </w:r>
      <w:r w:rsidR="004B45DE">
        <w:t xml:space="preserve"> in Medicine Buddha </w:t>
      </w:r>
      <w:r w:rsidR="006463C8">
        <w:t>m</w:t>
      </w:r>
      <w:r w:rsidR="004B45DE">
        <w:t xml:space="preserve">andalas. These </w:t>
      </w:r>
      <w:r w:rsidR="002A4A59">
        <w:t xml:space="preserve">Medicine Buddha </w:t>
      </w:r>
      <w:r w:rsidR="00D703B3">
        <w:t xml:space="preserve">mandalas </w:t>
      </w:r>
      <w:r w:rsidR="004B45DE">
        <w:t xml:space="preserve">predate </w:t>
      </w:r>
      <w:r w:rsidR="00D703B3">
        <w:t>those</w:t>
      </w:r>
      <w:r w:rsidR="004B45DE">
        <w:t xml:space="preserve"> with texts, which seem to emerge </w:t>
      </w:r>
      <w:r w:rsidR="00D703B3">
        <w:t xml:space="preserve">sometime </w:t>
      </w:r>
      <w:r w:rsidR="004B45DE">
        <w:t xml:space="preserve">in the eighteenth century. </w:t>
      </w:r>
      <w:r w:rsidR="00CF2B45">
        <w:t>The leading theory</w:t>
      </w:r>
      <w:r w:rsidR="00506D65">
        <w:t>,</w:t>
      </w:r>
      <w:r w:rsidR="009B2899">
        <w:t xml:space="preserve"> voiced by Marylin Rhie and Robert Thurman</w:t>
      </w:r>
      <w:r w:rsidR="00C73FBA">
        <w:t xml:space="preserve"> (1999)</w:t>
      </w:r>
      <w:r w:rsidR="00506D65">
        <w:t>,</w:t>
      </w:r>
      <w:r w:rsidR="00CF2B45">
        <w:t xml:space="preserve"> is that </w:t>
      </w:r>
      <w:r w:rsidR="00C73FBA">
        <w:t>a volume of the Perfection of Wisdom is at</w:t>
      </w:r>
      <w:r w:rsidR="00E63E38">
        <w:t xml:space="preserve"> the center of </w:t>
      </w:r>
      <w:r w:rsidR="00B2621A">
        <w:t xml:space="preserve">Medicine Buddha </w:t>
      </w:r>
      <w:r w:rsidR="006463C8">
        <w:t>m</w:t>
      </w:r>
      <w:r w:rsidR="00E63E38">
        <w:t>andala</w:t>
      </w:r>
      <w:r w:rsidR="00B2621A">
        <w:t>s</w:t>
      </w:r>
      <w:r w:rsidR="002A4A59">
        <w:t xml:space="preserve"> with texts</w:t>
      </w:r>
      <w:r w:rsidR="00C73FBA">
        <w:t>,</w:t>
      </w:r>
      <w:r w:rsidR="007155ED">
        <w:t xml:space="preserve"> </w:t>
      </w:r>
      <w:r w:rsidR="00814967">
        <w:t>and th</w:t>
      </w:r>
      <w:r w:rsidR="00845566">
        <w:t>e</w:t>
      </w:r>
      <w:r w:rsidR="00814967">
        <w:t xml:space="preserve"> </w:t>
      </w:r>
      <w:r w:rsidR="00845566">
        <w:t>theory</w:t>
      </w:r>
      <w:r w:rsidR="00814967">
        <w:t xml:space="preserve"> has been </w:t>
      </w:r>
      <w:r w:rsidR="002F4E18">
        <w:t>generally accepted and repeated in the scholarship</w:t>
      </w:r>
      <w:r w:rsidR="00814967">
        <w:t>.</w:t>
      </w:r>
      <w:r w:rsidR="002F5D42">
        <w:rPr>
          <w:rStyle w:val="FootnoteReference"/>
        </w:rPr>
        <w:footnoteReference w:id="5"/>
      </w:r>
      <w:r w:rsidR="007155ED">
        <w:t xml:space="preserve"> </w:t>
      </w:r>
      <w:r w:rsidR="00E769CC">
        <w:t xml:space="preserve">Given </w:t>
      </w:r>
      <w:r w:rsidR="004B45DE">
        <w:t xml:space="preserve">precedents in India for images that express a parity between the deity </w:t>
      </w:r>
      <w:r w:rsidR="004B45DE" w:rsidRPr="00AF492B">
        <w:t>Prajñāpāramitā</w:t>
      </w:r>
      <w:r w:rsidR="004B45DE">
        <w:t xml:space="preserve"> and </w:t>
      </w:r>
      <w:r w:rsidR="004B45DE" w:rsidRPr="00091F66">
        <w:t xml:space="preserve">Perfection of Wisdom </w:t>
      </w:r>
      <w:r w:rsidR="00E769CC">
        <w:t>sūtras</w:t>
      </w:r>
      <w:r w:rsidR="007155ED">
        <w:t xml:space="preserve"> (</w:t>
      </w:r>
      <w:r w:rsidR="002F5D42">
        <w:t>Kinnard 1999</w:t>
      </w:r>
      <w:r w:rsidR="007155ED">
        <w:t>)</w:t>
      </w:r>
      <w:r w:rsidR="00E769CC">
        <w:t>, it is reasonable to surmise that the same parity is being expressed in</w:t>
      </w:r>
      <w:r w:rsidR="00204252" w:rsidRPr="00204252">
        <w:t xml:space="preserve"> </w:t>
      </w:r>
      <w:r w:rsidR="00204252">
        <w:t xml:space="preserve">Medicine Buddha </w:t>
      </w:r>
      <w:r w:rsidR="006463C8">
        <w:t>m</w:t>
      </w:r>
      <w:r w:rsidR="00204252">
        <w:t>andalas</w:t>
      </w:r>
      <w:r w:rsidR="002A4A59">
        <w:t xml:space="preserve"> with texts</w:t>
      </w:r>
      <w:r w:rsidR="00E769CC">
        <w:t>.</w:t>
      </w:r>
      <w:r w:rsidR="00204252">
        <w:t xml:space="preserve"> </w:t>
      </w:r>
      <w:r w:rsidR="004B45DE" w:rsidRPr="00443AE0">
        <w:t xml:space="preserve">However, </w:t>
      </w:r>
      <w:r w:rsidR="0054129F" w:rsidRPr="0054129F">
        <w:rPr>
          <w:i/>
          <w:iCs/>
        </w:rPr>
        <w:t>The Wish-Fulfilling King</w:t>
      </w:r>
      <w:r w:rsidR="0054129F">
        <w:t xml:space="preserve"> problematizes this line of reasoning</w:t>
      </w:r>
      <w:r w:rsidR="00C73FBA">
        <w:t xml:space="preserve"> </w:t>
      </w:r>
      <w:r w:rsidR="0054129F">
        <w:t xml:space="preserve">and strongly suggests </w:t>
      </w:r>
      <w:r w:rsidR="00C73FBA">
        <w:t>the</w:t>
      </w:r>
      <w:r w:rsidR="00B2621A">
        <w:t xml:space="preserve"> </w:t>
      </w:r>
      <w:r w:rsidR="004B45DE" w:rsidRPr="00443AE0">
        <w:rPr>
          <w:i/>
          <w:iCs/>
        </w:rPr>
        <w:t>Seven Tathāgatas Sūtra</w:t>
      </w:r>
      <w:r w:rsidR="00DC5FB4">
        <w:rPr>
          <w:i/>
          <w:iCs/>
        </w:rPr>
        <w:t xml:space="preserve"> </w:t>
      </w:r>
      <w:r w:rsidR="00C73FBA">
        <w:t xml:space="preserve">is </w:t>
      </w:r>
      <w:r w:rsidR="00E63E38">
        <w:t>being</w:t>
      </w:r>
      <w:r w:rsidR="0054129F">
        <w:t xml:space="preserve"> </w:t>
      </w:r>
      <w:r w:rsidR="004B45DE" w:rsidRPr="00443AE0">
        <w:t>mistaken for a volume of the Perfection of Wisdom.</w:t>
      </w:r>
    </w:p>
    <w:p w14:paraId="60C52936" w14:textId="490AA29B" w:rsidR="00C07DB5" w:rsidRDefault="007E15E6" w:rsidP="00EE7BAA">
      <w:pPr>
        <w:spacing w:line="480" w:lineRule="auto"/>
        <w:ind w:firstLine="720"/>
      </w:pPr>
      <w:r>
        <w:t xml:space="preserve">One </w:t>
      </w:r>
      <w:r w:rsidR="00E745FD">
        <w:t xml:space="preserve">possible </w:t>
      </w:r>
      <w:r>
        <w:t xml:space="preserve">approach to explicating </w:t>
      </w:r>
      <w:r w:rsidR="004B45DE">
        <w:t xml:space="preserve">such conundrums in </w:t>
      </w:r>
      <w:r>
        <w:t xml:space="preserve">Medicine Buddha </w:t>
      </w:r>
      <w:r w:rsidR="006463C8">
        <w:t>m</w:t>
      </w:r>
      <w:r>
        <w:t xml:space="preserve">andala imagery involves looking </w:t>
      </w:r>
      <w:r w:rsidR="003E7120">
        <w:t>at</w:t>
      </w:r>
      <w:r>
        <w:t xml:space="preserve"> iconographic handbooks</w:t>
      </w:r>
      <w:r w:rsidR="00127E0B" w:rsidRPr="00127E0B">
        <w:t xml:space="preserve"> </w:t>
      </w:r>
      <w:r w:rsidR="00127E0B">
        <w:t>that stipulate the iconometry and ornamentation of primary figures in imagery</w:t>
      </w:r>
      <w:r w:rsidR="00242967">
        <w:t xml:space="preserve"> (</w:t>
      </w:r>
      <w:r w:rsidR="00242967" w:rsidRPr="0042111C">
        <w:rPr>
          <w:rFonts w:eastAsia="Times New Roman"/>
          <w:lang w:bidi="bo-CN"/>
        </w:rPr>
        <w:t>Cüppers</w:t>
      </w:r>
      <w:r w:rsidR="00242967">
        <w:rPr>
          <w:rFonts w:eastAsia="Times New Roman"/>
          <w:lang w:bidi="bo-CN"/>
        </w:rPr>
        <w:t xml:space="preserve"> et al., 2012</w:t>
      </w:r>
      <w:r w:rsidR="00242967">
        <w:t>)</w:t>
      </w:r>
      <w:r w:rsidR="00380773">
        <w:t xml:space="preserve">. </w:t>
      </w:r>
      <w:r w:rsidR="007A31FD">
        <w:t>In addition to producing</w:t>
      </w:r>
      <w:r>
        <w:t xml:space="preserve"> several </w:t>
      </w:r>
      <w:r w:rsidR="00981B2B">
        <w:t xml:space="preserve">of </w:t>
      </w:r>
      <w:r w:rsidR="00BF4481">
        <w:t>their own</w:t>
      </w:r>
      <w:r w:rsidR="006F0C87">
        <w:t xml:space="preserve"> handbooks</w:t>
      </w:r>
      <w:r w:rsidR="007A31FD">
        <w:t>,</w:t>
      </w:r>
      <w:r w:rsidR="00981B2B">
        <w:t xml:space="preserve"> </w:t>
      </w:r>
      <w:r w:rsidR="007A31FD">
        <w:t>Tibetan Buddhism</w:t>
      </w:r>
      <w:r w:rsidR="00981B2B">
        <w:t xml:space="preserve"> </w:t>
      </w:r>
      <w:r w:rsidR="00E57E22">
        <w:t>possesses</w:t>
      </w:r>
      <w:r w:rsidR="00E77862">
        <w:t xml:space="preserve"> </w:t>
      </w:r>
      <w:r w:rsidR="00127E0B">
        <w:t>others</w:t>
      </w:r>
      <w:r w:rsidR="00E77862">
        <w:t xml:space="preserve"> based on Indian Buddhist sources preserved in Tibetan translation</w:t>
      </w:r>
      <w:r w:rsidR="00127E0B">
        <w:t xml:space="preserve">. </w:t>
      </w:r>
      <w:r w:rsidR="007A31FD">
        <w:t xml:space="preserve">Yet, </w:t>
      </w:r>
      <w:r w:rsidR="00127E0B">
        <w:t xml:space="preserve">none of </w:t>
      </w:r>
      <w:r w:rsidR="00BF4481">
        <w:t>the</w:t>
      </w:r>
      <w:r w:rsidR="00E57E22">
        <w:t xml:space="preserve">se </w:t>
      </w:r>
      <w:r w:rsidR="00CF2B45">
        <w:t xml:space="preserve">handbooks </w:t>
      </w:r>
      <w:r w:rsidR="00127E0B">
        <w:t>really</w:t>
      </w:r>
      <w:r w:rsidR="00BF7417">
        <w:t xml:space="preserve"> account for the complex ways Tibetan Buddhist interpreters with considerable latitude adopted and continued to adapt Indian conventions.</w:t>
      </w:r>
      <w:r w:rsidR="00257747">
        <w:t xml:space="preserve"> </w:t>
      </w:r>
      <w:r w:rsidR="00BF7417">
        <w:t xml:space="preserve">Likewise, </w:t>
      </w:r>
      <w:r w:rsidR="00E57E22">
        <w:t>those</w:t>
      </w:r>
      <w:r w:rsidR="00BF7417">
        <w:t xml:space="preserve"> preserved in Tibetan are not helpful in the case of Medicine Buddha </w:t>
      </w:r>
      <w:r w:rsidR="006463C8">
        <w:t>m</w:t>
      </w:r>
      <w:r w:rsidR="00BF7417">
        <w:t>andala</w:t>
      </w:r>
      <w:r w:rsidR="00DC5FB4">
        <w:t xml:space="preserve">s </w:t>
      </w:r>
      <w:r w:rsidR="006F0C87">
        <w:t>due to</w:t>
      </w:r>
      <w:r w:rsidR="007869EA">
        <w:t xml:space="preserve"> </w:t>
      </w:r>
      <w:r w:rsidR="00DC5FB4">
        <w:t>their</w:t>
      </w:r>
      <w:r w:rsidR="007869EA">
        <w:t xml:space="preserve"> emergence </w:t>
      </w:r>
      <w:r w:rsidR="00BF7417">
        <w:t>in a Tibetan context,</w:t>
      </w:r>
      <w:r w:rsidR="006F0C87">
        <w:t xml:space="preserve"> </w:t>
      </w:r>
      <w:r w:rsidR="00BF7417">
        <w:t xml:space="preserve">where the </w:t>
      </w:r>
      <w:r w:rsidR="00BF7417" w:rsidRPr="0030757D">
        <w:rPr>
          <w:i/>
          <w:iCs/>
        </w:rPr>
        <w:t xml:space="preserve">Seven </w:t>
      </w:r>
      <w:r w:rsidR="00BF7417" w:rsidRPr="0030757D">
        <w:rPr>
          <w:i/>
          <w:iCs/>
        </w:rPr>
        <w:lastRenderedPageBreak/>
        <w:t>Tathāgatas Sūtra</w:t>
      </w:r>
      <w:r w:rsidR="00BF7417">
        <w:rPr>
          <w:i/>
          <w:iCs/>
        </w:rPr>
        <w:t xml:space="preserve"> </w:t>
      </w:r>
      <w:r w:rsidR="00BF7417">
        <w:t>itself appears to be the primary source of the iconographic program</w:t>
      </w:r>
      <w:r w:rsidR="00E745FD">
        <w:t xml:space="preserve"> for the seven buddhas of healing</w:t>
      </w:r>
      <w:r w:rsidR="00BF7417">
        <w:t>.</w:t>
      </w:r>
    </w:p>
    <w:p w14:paraId="64EB72FF" w14:textId="69308897" w:rsidR="003D461C" w:rsidRPr="003D461C" w:rsidRDefault="00C07DB5" w:rsidP="00D110C3">
      <w:pPr>
        <w:spacing w:line="480" w:lineRule="auto"/>
        <w:ind w:firstLine="720"/>
      </w:pPr>
      <w:r>
        <w:t>Although opinion is divided on the exact origin of Medicine Buddha devotional practices</w:t>
      </w:r>
      <w:r w:rsidR="00952A3A">
        <w:t xml:space="preserve"> involving imagery</w:t>
      </w:r>
      <w:r w:rsidR="00242967">
        <w:t xml:space="preserve"> (Lee 2017)</w:t>
      </w:r>
      <w:r>
        <w:t>, according to the Mahāyāna, the historical Buddha gave two discourses detailing the positive attributes and aspirations made in the previous lives of the seven buddhas of healing, including the preeminent Medicine Buddha.</w:t>
      </w:r>
      <w:r>
        <w:rPr>
          <w:rStyle w:val="FootnoteReference"/>
        </w:rPr>
        <w:footnoteReference w:id="6"/>
      </w:r>
      <w:r>
        <w:t xml:space="preserve"> </w:t>
      </w:r>
      <w:r w:rsidR="00D110C3">
        <w:t xml:space="preserve">My methodology takes </w:t>
      </w:r>
      <w:r>
        <w:t xml:space="preserve">these </w:t>
      </w:r>
      <w:r w:rsidR="00710B67">
        <w:t>discourses</w:t>
      </w:r>
      <w:r>
        <w:t xml:space="preserve"> as the basis for the iconographic programs for the seven buddhas of healing that developed in Tibet.</w:t>
      </w:r>
      <w:r w:rsidR="00952A3A">
        <w:t xml:space="preserve"> </w:t>
      </w:r>
      <w:r w:rsidR="00D110C3">
        <w:t>It</w:t>
      </w:r>
      <w:r w:rsidR="00E745FD">
        <w:t xml:space="preserve"> involves comparing the eighteenth-century Medicine Buddha </w:t>
      </w:r>
      <w:r w:rsidR="006463C8">
        <w:t>m</w:t>
      </w:r>
      <w:r w:rsidR="00E745FD">
        <w:t>andala</w:t>
      </w:r>
      <w:r w:rsidR="006463C8">
        <w:t xml:space="preserve"> with a text</w:t>
      </w:r>
      <w:r w:rsidR="00E745FD">
        <w:t xml:space="preserve"> </w:t>
      </w:r>
      <w:r w:rsidR="003157DB">
        <w:t xml:space="preserve">(see Figure 1) </w:t>
      </w:r>
      <w:r w:rsidR="003F47DE">
        <w:t>to</w:t>
      </w:r>
      <w:r w:rsidR="00E745FD">
        <w:t xml:space="preserve"> the Buddha’s discourses </w:t>
      </w:r>
      <w:r w:rsidR="003203C2">
        <w:t>on the seven buddhas of healing</w:t>
      </w:r>
      <w:r w:rsidR="003157DB">
        <w:t>,</w:t>
      </w:r>
      <w:r w:rsidR="003203C2">
        <w:t xml:space="preserve"> and more specifically the </w:t>
      </w:r>
      <w:r w:rsidR="00DC5FB4">
        <w:t xml:space="preserve">Fifth </w:t>
      </w:r>
      <w:r w:rsidR="003203C2">
        <w:t xml:space="preserve">Dalai Lama’s </w:t>
      </w:r>
      <w:r w:rsidR="003203C2" w:rsidRPr="003203C2">
        <w:rPr>
          <w:i/>
          <w:iCs/>
        </w:rPr>
        <w:t>Wish-Fulfilling King</w:t>
      </w:r>
      <w:r w:rsidR="003157DB">
        <w:t>.</w:t>
      </w:r>
      <w:r w:rsidR="003157DB">
        <w:rPr>
          <w:rStyle w:val="FootnoteReference"/>
        </w:rPr>
        <w:footnoteReference w:id="7"/>
      </w:r>
      <w:r w:rsidR="003157DB">
        <w:t xml:space="preserve"> </w:t>
      </w:r>
      <w:r w:rsidR="003203C2">
        <w:t xml:space="preserve">I conjecture that because the textual precedent for placing a book at the center of Medicine Buddha </w:t>
      </w:r>
      <w:r w:rsidR="006463C8">
        <w:t>m</w:t>
      </w:r>
      <w:r w:rsidR="003203C2">
        <w:t xml:space="preserve">andalas predates the visual tradition, </w:t>
      </w:r>
      <w:r w:rsidR="001A2C53">
        <w:t xml:space="preserve">the latter is probably derivative. </w:t>
      </w:r>
      <w:r w:rsidR="00F46D76">
        <w:t xml:space="preserve">I argue </w:t>
      </w:r>
      <w:r w:rsidR="00C7371B">
        <w:t>that Rhie and Thurman</w:t>
      </w:r>
      <w:r w:rsidR="00C7371B" w:rsidRPr="00C7371B">
        <w:t xml:space="preserve"> </w:t>
      </w:r>
      <w:r w:rsidR="00C7371B">
        <w:t xml:space="preserve">misidentify the </w:t>
      </w:r>
      <w:r w:rsidR="00C7371B" w:rsidRPr="0030757D">
        <w:rPr>
          <w:i/>
          <w:iCs/>
        </w:rPr>
        <w:t>Seven Tathāgatas Sūtra</w:t>
      </w:r>
      <w:r w:rsidR="00C7371B">
        <w:rPr>
          <w:i/>
          <w:iCs/>
        </w:rPr>
        <w:t xml:space="preserve"> </w:t>
      </w:r>
      <w:r w:rsidR="00C7371B">
        <w:t xml:space="preserve">as a volume of the Perfection of Wisdom in their reading of a </w:t>
      </w:r>
      <w:r w:rsidR="00C67974">
        <w:t xml:space="preserve">nineteenth-century, central Tibetan </w:t>
      </w:r>
      <w:r w:rsidR="00C7371B">
        <w:t xml:space="preserve">Medicine Buddha </w:t>
      </w:r>
      <w:r w:rsidR="006463C8">
        <w:t>m</w:t>
      </w:r>
      <w:r w:rsidR="00C7371B">
        <w:t>andala</w:t>
      </w:r>
      <w:r w:rsidR="002A4A59">
        <w:t xml:space="preserve"> with a text</w:t>
      </w:r>
      <w:r w:rsidR="00C7371B">
        <w:t>. Further, the connections I make are strong enough to duplicate my methodology and</w:t>
      </w:r>
      <w:r w:rsidR="00AD6A28">
        <w:t xml:space="preserve"> call into question other readings</w:t>
      </w:r>
      <w:r w:rsidR="00564391">
        <w:t xml:space="preserve"> of Medicine Buddha </w:t>
      </w:r>
      <w:r w:rsidR="006463C8">
        <w:t>m</w:t>
      </w:r>
      <w:r w:rsidR="00564391">
        <w:t>andalas</w:t>
      </w:r>
      <w:r w:rsidR="002A4A59">
        <w:t xml:space="preserve"> with texts</w:t>
      </w:r>
      <w:r w:rsidR="00AD6A28">
        <w:t xml:space="preserve"> that follow Rhie and Thurman.</w:t>
      </w:r>
      <w:r w:rsidR="00C7371B">
        <w:t xml:space="preserve"> </w:t>
      </w:r>
    </w:p>
    <w:p w14:paraId="5BA60D01" w14:textId="320A3099" w:rsidR="00032AB8" w:rsidRPr="00032AB8" w:rsidRDefault="00032AB8" w:rsidP="00032AB8">
      <w:pPr>
        <w:pStyle w:val="Heading3"/>
        <w:rPr>
          <w:b/>
          <w:bCs/>
        </w:rPr>
      </w:pPr>
      <w:r w:rsidRPr="00032AB8">
        <w:rPr>
          <w:b/>
          <w:bCs/>
        </w:rPr>
        <w:t xml:space="preserve">Chapter </w:t>
      </w:r>
      <w:r w:rsidR="00851D3E">
        <w:rPr>
          <w:b/>
          <w:bCs/>
        </w:rPr>
        <w:t>3</w:t>
      </w:r>
      <w:r w:rsidRPr="00032AB8">
        <w:rPr>
          <w:b/>
          <w:bCs/>
        </w:rPr>
        <w:t xml:space="preserve">: </w:t>
      </w:r>
      <w:r w:rsidR="00DF688D">
        <w:rPr>
          <w:b/>
          <w:bCs/>
        </w:rPr>
        <w:t xml:space="preserve">Ritualizing Books as Buddhas: </w:t>
      </w:r>
      <w:r w:rsidRPr="00851D3E">
        <w:rPr>
          <w:b/>
          <w:bCs/>
          <w:i/>
          <w:iCs/>
        </w:rPr>
        <w:t xml:space="preserve">The Wish-Fulfilling </w:t>
      </w:r>
      <w:r w:rsidR="00851D3E" w:rsidRPr="00851D3E">
        <w:rPr>
          <w:b/>
          <w:bCs/>
          <w:i/>
          <w:iCs/>
        </w:rPr>
        <w:t>King</w:t>
      </w:r>
      <w:r w:rsidR="00B231F7">
        <w:rPr>
          <w:b/>
          <w:bCs/>
        </w:rPr>
        <w:t xml:space="preserve"> </w:t>
      </w:r>
    </w:p>
    <w:p w14:paraId="0C4DCF89" w14:textId="77777777" w:rsidR="00032AB8" w:rsidRPr="008328E0" w:rsidRDefault="00032AB8" w:rsidP="00032AB8"/>
    <w:p w14:paraId="72A36C3B" w14:textId="7D8193E4" w:rsidR="005B4561" w:rsidRPr="00B512B9" w:rsidRDefault="0062186F" w:rsidP="00EE7BAA">
      <w:pPr>
        <w:spacing w:line="480" w:lineRule="auto"/>
        <w:ind w:firstLine="720"/>
      </w:pPr>
      <w:r>
        <w:t xml:space="preserve">Chapter 3 </w:t>
      </w:r>
      <w:r w:rsidR="00751E83" w:rsidRPr="0030757D">
        <w:t>trac</w:t>
      </w:r>
      <w:r w:rsidR="00751E83">
        <w:t>es</w:t>
      </w:r>
      <w:r w:rsidR="00751E83" w:rsidRPr="0030757D">
        <w:t xml:space="preserve"> the history of </w:t>
      </w:r>
      <w:r w:rsidR="00751E83" w:rsidRPr="0030757D">
        <w:rPr>
          <w:i/>
          <w:iCs/>
        </w:rPr>
        <w:t>The Wish-Fulfilling King</w:t>
      </w:r>
      <w:r w:rsidR="00751E83" w:rsidRPr="0030757D">
        <w:t xml:space="preserve"> </w:t>
      </w:r>
      <w:r w:rsidR="00751E83">
        <w:t xml:space="preserve">in Tibet and </w:t>
      </w:r>
      <w:r>
        <w:t xml:space="preserve">provides </w:t>
      </w:r>
      <w:r w:rsidR="00751E83">
        <w:t>an</w:t>
      </w:r>
      <w:r>
        <w:t xml:space="preserve"> evidentiary basis for rereading Medicine Buddha </w:t>
      </w:r>
      <w:r w:rsidR="006463C8">
        <w:t>m</w:t>
      </w:r>
      <w:r>
        <w:t>andala</w:t>
      </w:r>
      <w:r w:rsidR="002A4A59">
        <w:t>s with texts</w:t>
      </w:r>
      <w:r>
        <w:t>.</w:t>
      </w:r>
      <w:r w:rsidR="005B4561" w:rsidRPr="005B4561">
        <w:t xml:space="preserve"> </w:t>
      </w:r>
      <w:r w:rsidR="005B4561" w:rsidRPr="0030757D">
        <w:t xml:space="preserve">The tradition credits the </w:t>
      </w:r>
      <w:r w:rsidR="005B4561" w:rsidRPr="0030757D">
        <w:lastRenderedPageBreak/>
        <w:t xml:space="preserve">great Indian scholar Śāntarakṣita (zi ba ‘tsho, 725-788) with </w:t>
      </w:r>
      <w:r w:rsidR="005B4561">
        <w:t>writing</w:t>
      </w:r>
      <w:r w:rsidR="005B4561" w:rsidRPr="0030757D">
        <w:t xml:space="preserve"> the earliest works on the </w:t>
      </w:r>
      <w:r w:rsidR="005B4561" w:rsidRPr="0030757D">
        <w:rPr>
          <w:i/>
          <w:iCs/>
        </w:rPr>
        <w:t>Seven Tathāgatas Sūtra</w:t>
      </w:r>
      <w:r w:rsidR="005B4561" w:rsidRPr="0030757D">
        <w:t xml:space="preserve">, and the </w:t>
      </w:r>
      <w:r w:rsidR="005B4561">
        <w:t>relationship</w:t>
      </w:r>
      <w:r w:rsidR="005B4561" w:rsidRPr="0030757D">
        <w:t xml:space="preserve"> between the introduction of his three treatises </w:t>
      </w:r>
      <w:r w:rsidR="005B4561">
        <w:t xml:space="preserve">to Tibet </w:t>
      </w:r>
      <w:r w:rsidR="005B4561" w:rsidRPr="0030757D">
        <w:t xml:space="preserve">and the Fifth Dalai Lama’s own </w:t>
      </w:r>
      <w:r w:rsidR="005B4561">
        <w:t xml:space="preserve">work </w:t>
      </w:r>
      <w:r w:rsidR="005B4561" w:rsidRPr="0030757D">
        <w:t xml:space="preserve">is </w:t>
      </w:r>
      <w:r w:rsidR="005B4561">
        <w:t>largely</w:t>
      </w:r>
      <w:r w:rsidR="005B4561" w:rsidRPr="0030757D">
        <w:t xml:space="preserve"> uncharted.</w:t>
      </w:r>
      <w:r w:rsidR="00BC4890">
        <w:rPr>
          <w:rStyle w:val="FootnoteReference"/>
        </w:rPr>
        <w:footnoteReference w:id="8"/>
      </w:r>
      <w:r w:rsidR="005B4561">
        <w:t xml:space="preserve"> </w:t>
      </w:r>
      <w:r w:rsidR="005B4561" w:rsidRPr="0030757D">
        <w:t>Śāntarakṣita</w:t>
      </w:r>
      <w:r w:rsidR="005B4561">
        <w:t xml:space="preserve"> wrote the treatises at the request of the Tibetan emperor Tri Songdetsen (khri srong lde btsan, 742-800), where they were maintained in the royal court and subsequently transmitted through Tri Songdetsen’s successors. The transmission lineage </w:t>
      </w:r>
      <w:r w:rsidR="00C075F2">
        <w:t>converted</w:t>
      </w:r>
      <w:r w:rsidR="005B4561">
        <w:t xml:space="preserve"> to the Fifth Dalai Lama in the seventeenth century, when the political and spiritual leadership of Tibet converged in him.</w:t>
      </w:r>
      <w:r w:rsidR="005B4561" w:rsidRPr="00985FBB">
        <w:t xml:space="preserve"> </w:t>
      </w:r>
      <w:r w:rsidR="005B4561" w:rsidRPr="0030757D">
        <w:t>Śāntarakṣita</w:t>
      </w:r>
      <w:r w:rsidR="005B4561">
        <w:t xml:space="preserve">’s treatises advise practitioners to recite the </w:t>
      </w:r>
      <w:r w:rsidR="005B4561" w:rsidRPr="0030757D">
        <w:rPr>
          <w:i/>
          <w:iCs/>
        </w:rPr>
        <w:t>Seven Tathāgatas Sūtra</w:t>
      </w:r>
      <w:r w:rsidR="005B4561">
        <w:rPr>
          <w:i/>
          <w:iCs/>
        </w:rPr>
        <w:t xml:space="preserve"> </w:t>
      </w:r>
      <w:r w:rsidR="005B4561">
        <w:t>as much as possible,</w:t>
      </w:r>
      <w:r w:rsidR="00C43263">
        <w:t xml:space="preserve"> </w:t>
      </w:r>
      <w:r w:rsidR="00BC4890">
        <w:t xml:space="preserve">but </w:t>
      </w:r>
      <w:r w:rsidR="00C43263">
        <w:t xml:space="preserve">unlike </w:t>
      </w:r>
      <w:r w:rsidR="00C43263" w:rsidRPr="00B512B9">
        <w:rPr>
          <w:i/>
          <w:iCs/>
        </w:rPr>
        <w:t xml:space="preserve">The Wish-Fulfilling </w:t>
      </w:r>
      <w:r w:rsidR="00C43263" w:rsidRPr="00C43263">
        <w:rPr>
          <w:i/>
          <w:iCs/>
        </w:rPr>
        <w:t>King</w:t>
      </w:r>
      <w:r w:rsidR="00C43263">
        <w:t xml:space="preserve">, </w:t>
      </w:r>
      <w:r w:rsidR="005B4561" w:rsidRPr="00C43263">
        <w:t>they</w:t>
      </w:r>
      <w:r w:rsidR="005B4561">
        <w:t xml:space="preserve"> do not </w:t>
      </w:r>
      <w:r w:rsidR="00F255BB">
        <w:t>invite</w:t>
      </w:r>
      <w:r w:rsidR="005B4561">
        <w:t xml:space="preserve"> </w:t>
      </w:r>
      <w:r w:rsidR="005B4561" w:rsidRPr="00B512B9">
        <w:t xml:space="preserve">practitioners to place the sūtra at the center of the </w:t>
      </w:r>
      <w:r w:rsidR="0092554C">
        <w:t xml:space="preserve">ritual </w:t>
      </w:r>
      <w:r w:rsidR="005B4561" w:rsidRPr="00B512B9">
        <w:t xml:space="preserve">mandala. </w:t>
      </w:r>
    </w:p>
    <w:p w14:paraId="46EA32E3" w14:textId="6E863C82" w:rsidR="00703A18" w:rsidRDefault="00556BC9" w:rsidP="00EE7BAA">
      <w:pPr>
        <w:spacing w:line="480" w:lineRule="auto"/>
        <w:ind w:firstLine="720"/>
      </w:pPr>
      <w:r w:rsidRPr="006F7C9C">
        <w:t>Importantly, t</w:t>
      </w:r>
      <w:r w:rsidR="003C2F1E" w:rsidRPr="006F7C9C">
        <w:t xml:space="preserve">he </w:t>
      </w:r>
      <w:r w:rsidR="00D05372">
        <w:t>invitation</w:t>
      </w:r>
      <w:r w:rsidR="008E0201" w:rsidRPr="006F7C9C">
        <w:t xml:space="preserve"> </w:t>
      </w:r>
      <w:r w:rsidR="003C2F1E" w:rsidRPr="006F7C9C">
        <w:t xml:space="preserve">that shows up in the Dalai Lama’s text </w:t>
      </w:r>
      <w:r w:rsidR="008E0201" w:rsidRPr="006F7C9C">
        <w:t xml:space="preserve">might not be his </w:t>
      </w:r>
      <w:r w:rsidR="000E5A44">
        <w:t>innovation</w:t>
      </w:r>
      <w:r w:rsidR="008E0201" w:rsidRPr="006F7C9C">
        <w:t xml:space="preserve"> because he </w:t>
      </w:r>
      <w:r w:rsidR="00B512B9" w:rsidRPr="006F7C9C">
        <w:t>was not working in isolation</w:t>
      </w:r>
      <w:r w:rsidR="003C2F1E" w:rsidRPr="006F7C9C">
        <w:t>, but likely drawing directly from his teachers. For instance,</w:t>
      </w:r>
      <w:r w:rsidRPr="006F7C9C">
        <w:t xml:space="preserve"> in his </w:t>
      </w:r>
      <w:r w:rsidR="006F7C9C">
        <w:t>biography of</w:t>
      </w:r>
      <w:r w:rsidRPr="006F7C9C">
        <w:t xml:space="preserve"> </w:t>
      </w:r>
      <w:r w:rsidR="003C2F1E" w:rsidRPr="006F7C9C">
        <w:t>Khonton Peljor Lhundrub (‘khon ston ‘byor lhun grub, 1561-1637)</w:t>
      </w:r>
      <w:r w:rsidRPr="006F7C9C">
        <w:t xml:space="preserve">, the Fifth </w:t>
      </w:r>
      <w:r w:rsidR="006F7C9C">
        <w:t xml:space="preserve">Dalai Lama </w:t>
      </w:r>
      <w:r w:rsidRPr="006F7C9C">
        <w:t>mentions</w:t>
      </w:r>
      <w:r w:rsidR="006F7C9C">
        <w:t xml:space="preserve"> </w:t>
      </w:r>
      <w:r w:rsidR="005326CB">
        <w:t xml:space="preserve">Khontonpa’s </w:t>
      </w:r>
      <w:r w:rsidRPr="006F7C9C">
        <w:rPr>
          <w:i/>
          <w:iCs/>
        </w:rPr>
        <w:t>Empowerment Ritual of the Seven Sugatas of Medicine Buddha</w:t>
      </w:r>
      <w:r w:rsidRPr="006F7C9C">
        <w:t xml:space="preserve"> (</w:t>
      </w:r>
      <w:r w:rsidRPr="006F7C9C">
        <w:rPr>
          <w:i/>
          <w:iCs/>
        </w:rPr>
        <w:t>sman bla bde gshegs bdun gyi dbang chog phan bde’</w:t>
      </w:r>
      <w:r w:rsidRPr="006F7C9C">
        <w:rPr>
          <w:rFonts w:cs="Microsoft Himalaya"/>
          <w:i/>
          <w:iCs/>
          <w:lang w:bidi="bo-CN"/>
        </w:rPr>
        <w:t>i byung gnas</w:t>
      </w:r>
      <w:r w:rsidRPr="006F7C9C">
        <w:t xml:space="preserve">), </w:t>
      </w:r>
      <w:r w:rsidR="003C2F1E" w:rsidRPr="006F7C9C">
        <w:t>a ritual liturgy on the seven buddhas of healing</w:t>
      </w:r>
      <w:r w:rsidR="008E33F0">
        <w:t xml:space="preserve"> that may not be extant</w:t>
      </w:r>
      <w:r w:rsidR="006F7C9C">
        <w:t xml:space="preserve">. </w:t>
      </w:r>
      <w:r w:rsidR="003C2F1E">
        <w:t xml:space="preserve">Likewise, </w:t>
      </w:r>
      <w:r w:rsidR="00370DDE">
        <w:t xml:space="preserve">although </w:t>
      </w:r>
      <w:r w:rsidR="00173DB1">
        <w:t xml:space="preserve">we do not know the </w:t>
      </w:r>
      <w:r w:rsidR="00370DDE">
        <w:t xml:space="preserve">exact </w:t>
      </w:r>
      <w:r w:rsidR="00173DB1">
        <w:t xml:space="preserve">reason for the two different naming traditions, </w:t>
      </w:r>
      <w:r w:rsidR="003C2F1E">
        <w:t xml:space="preserve">the Dalai Lama seems </w:t>
      </w:r>
      <w:r w:rsidR="003C2F1E">
        <w:lastRenderedPageBreak/>
        <w:t>to be following another of his teachers, the first Panchen lama, Lobzang Chokyi Gyeltsen (blo bzang chos kyi rgyal mtshan, 1570-1662), when he refers to the seven buddhas of healing as the Seven Sugatas (</w:t>
      </w:r>
      <w:r w:rsidR="003C2F1E" w:rsidRPr="00703F58">
        <w:rPr>
          <w:i/>
          <w:iCs/>
        </w:rPr>
        <w:t>bde bar gshegs pa bdun</w:t>
      </w:r>
      <w:r w:rsidR="003C2F1E">
        <w:t>) rather than the Seven Tathāgatas (</w:t>
      </w:r>
      <w:r w:rsidR="003C2F1E" w:rsidRPr="00D424D0">
        <w:rPr>
          <w:i/>
          <w:iCs/>
        </w:rPr>
        <w:t>de bzhin gshegs pa bdun</w:t>
      </w:r>
      <w:r w:rsidR="003C2F1E">
        <w:t>).</w:t>
      </w:r>
      <w:r w:rsidR="003C2F1E">
        <w:rPr>
          <w:rStyle w:val="FootnoteReference"/>
        </w:rPr>
        <w:footnoteReference w:id="9"/>
      </w:r>
      <w:r w:rsidR="003C2F1E">
        <w:t xml:space="preserve"> </w:t>
      </w:r>
      <w:r w:rsidR="00173DB1">
        <w:t xml:space="preserve">Drawing out </w:t>
      </w:r>
      <w:r w:rsidR="00440189">
        <w:t xml:space="preserve">and making sense of </w:t>
      </w:r>
      <w:r w:rsidR="004204BA">
        <w:t>these kinds of connections</w:t>
      </w:r>
      <w:r w:rsidR="00440189">
        <w:t xml:space="preserve"> </w:t>
      </w:r>
      <w:r w:rsidR="00173DB1">
        <w:t>is necessary</w:t>
      </w:r>
      <w:r w:rsidR="005A0EF2">
        <w:t xml:space="preserve"> </w:t>
      </w:r>
      <w:r w:rsidR="00F255BB" w:rsidRPr="0030757D">
        <w:t xml:space="preserve">to </w:t>
      </w:r>
      <w:r w:rsidR="00F255BB">
        <w:t>appreciate</w:t>
      </w:r>
      <w:r w:rsidR="00263D9C">
        <w:t xml:space="preserve"> </w:t>
      </w:r>
      <w:r w:rsidR="00F255BB">
        <w:t>any</w:t>
      </w:r>
      <w:r w:rsidR="00F255BB" w:rsidRPr="0030757D">
        <w:t xml:space="preserve"> novel contributions </w:t>
      </w:r>
      <w:r w:rsidR="005A0EF2" w:rsidRPr="0030757D">
        <w:t>the Dalai Lama</w:t>
      </w:r>
      <w:r w:rsidR="005A0EF2">
        <w:t xml:space="preserve"> </w:t>
      </w:r>
      <w:r w:rsidR="00F255BB">
        <w:t xml:space="preserve">made </w:t>
      </w:r>
      <w:r w:rsidR="00F255BB" w:rsidRPr="0030757D">
        <w:t>to medicine buddha rituals</w:t>
      </w:r>
      <w:r w:rsidR="005A0EF2">
        <w:t xml:space="preserve">. </w:t>
      </w:r>
    </w:p>
    <w:p w14:paraId="2D4F562A" w14:textId="062C22B2" w:rsidR="00032AB8" w:rsidRDefault="00703A18" w:rsidP="00EE7BAA">
      <w:pPr>
        <w:spacing w:line="480" w:lineRule="auto"/>
        <w:ind w:firstLine="720"/>
      </w:pPr>
      <w:r>
        <w:t>Accordingly</w:t>
      </w:r>
      <w:r w:rsidR="004204BA">
        <w:t xml:space="preserve">, this chapter </w:t>
      </w:r>
      <w:r w:rsidR="004204BA" w:rsidRPr="0030757D">
        <w:t>catalog</w:t>
      </w:r>
      <w:r w:rsidR="0092554C">
        <w:t>ues</w:t>
      </w:r>
      <w:r w:rsidR="004204BA">
        <w:t xml:space="preserve"> </w:t>
      </w:r>
      <w:r w:rsidR="004204BA" w:rsidRPr="0030757D">
        <w:t xml:space="preserve">treatises on the </w:t>
      </w:r>
      <w:r w:rsidR="004204BA" w:rsidRPr="0030757D">
        <w:rPr>
          <w:i/>
          <w:iCs/>
        </w:rPr>
        <w:t>Seven Tathāgatas Sūtra</w:t>
      </w:r>
      <w:r w:rsidR="004204BA">
        <w:t xml:space="preserve">, primarily </w:t>
      </w:r>
      <w:r w:rsidR="004204BA" w:rsidRPr="0030757D">
        <w:t>mak</w:t>
      </w:r>
      <w:r w:rsidR="003324CC">
        <w:t>ing</w:t>
      </w:r>
      <w:r w:rsidR="004204BA" w:rsidRPr="0030757D">
        <w:t xml:space="preserve"> use of special collections </w:t>
      </w:r>
      <w:r w:rsidR="004204BA">
        <w:t xml:space="preserve">in India </w:t>
      </w:r>
      <w:r w:rsidR="004204BA" w:rsidRPr="0030757D">
        <w:t>at the Library of Tibetan Works and Archives (LTWA)</w:t>
      </w:r>
      <w:r>
        <w:t xml:space="preserve">. </w:t>
      </w:r>
      <w:r w:rsidR="003055A5">
        <w:t xml:space="preserve">To contextualize these treatises, </w:t>
      </w:r>
      <w:r w:rsidR="003055A5" w:rsidRPr="00643FD2">
        <w:t>t</w:t>
      </w:r>
      <w:r w:rsidRPr="00643FD2">
        <w:t xml:space="preserve">he chapter </w:t>
      </w:r>
      <w:r w:rsidR="003055A5" w:rsidRPr="00643FD2">
        <w:t xml:space="preserve">is </w:t>
      </w:r>
      <w:r w:rsidR="00D808F2" w:rsidRPr="00643FD2">
        <w:t>pick</w:t>
      </w:r>
      <w:r w:rsidR="003055A5" w:rsidRPr="00643FD2">
        <w:t>ing</w:t>
      </w:r>
      <w:r w:rsidR="00931E8E" w:rsidRPr="00643FD2">
        <w:t xml:space="preserve"> </w:t>
      </w:r>
      <w:r w:rsidR="00583C5D" w:rsidRPr="00643FD2">
        <w:t>up</w:t>
      </w:r>
      <w:r w:rsidR="003055A5" w:rsidRPr="00643FD2">
        <w:t xml:space="preserve"> many</w:t>
      </w:r>
      <w:r w:rsidR="00583C5D" w:rsidRPr="00643FD2">
        <w:t xml:space="preserve"> threads </w:t>
      </w:r>
      <w:r w:rsidRPr="00643FD2">
        <w:t>from</w:t>
      </w:r>
      <w:r w:rsidR="00583C5D" w:rsidRPr="00643FD2">
        <w:t xml:space="preserve"> a previous study </w:t>
      </w:r>
      <w:r w:rsidRPr="00643FD2">
        <w:t xml:space="preserve">on </w:t>
      </w:r>
      <w:r w:rsidRPr="00643FD2">
        <w:rPr>
          <w:i/>
          <w:iCs/>
        </w:rPr>
        <w:t>The Wish-Fulfilling King</w:t>
      </w:r>
      <w:r w:rsidRPr="00643FD2">
        <w:t xml:space="preserve"> </w:t>
      </w:r>
      <w:r w:rsidR="00583C5D" w:rsidRPr="00643FD2">
        <w:t>(Nourse 2021)</w:t>
      </w:r>
      <w:r w:rsidR="00931E8E" w:rsidRPr="00643FD2">
        <w:t xml:space="preserve">. </w:t>
      </w:r>
      <w:r w:rsidR="00643FD2">
        <w:t xml:space="preserve">Additional connections that help </w:t>
      </w:r>
      <w:r w:rsidR="00EA1711">
        <w:t xml:space="preserve">put these </w:t>
      </w:r>
      <w:r w:rsidR="00643FD2">
        <w:t xml:space="preserve">treatises </w:t>
      </w:r>
      <w:r w:rsidR="00EA1711">
        <w:t xml:space="preserve">in context </w:t>
      </w:r>
      <w:r w:rsidR="00643FD2">
        <w:t xml:space="preserve">include ascertaining why the </w:t>
      </w:r>
      <w:r w:rsidR="00643FD2" w:rsidRPr="0030757D">
        <w:rPr>
          <w:i/>
          <w:iCs/>
        </w:rPr>
        <w:t>Seven Tathāgatas Sūtra</w:t>
      </w:r>
      <w:r w:rsidR="00643FD2">
        <w:rPr>
          <w:i/>
          <w:iCs/>
        </w:rPr>
        <w:t xml:space="preserve"> </w:t>
      </w:r>
      <w:r w:rsidR="00643FD2">
        <w:t xml:space="preserve">is classified in the Tibetan tradition as a sūtra at times and an action tantra at others, determining whether any liturgies are based on the shorter version of the </w:t>
      </w:r>
      <w:r w:rsidR="00643FD2" w:rsidRPr="0030757D">
        <w:rPr>
          <w:i/>
          <w:iCs/>
        </w:rPr>
        <w:t>Seven Tathāgatas Sūtra</w:t>
      </w:r>
      <w:r w:rsidR="00643FD2">
        <w:t>,</w:t>
      </w:r>
      <w:r w:rsidR="00643FD2">
        <w:rPr>
          <w:rStyle w:val="FootnoteReference"/>
        </w:rPr>
        <w:footnoteReference w:id="10"/>
      </w:r>
      <w:r w:rsidR="00643FD2">
        <w:t xml:space="preserve"> and explaining why Amitābha Buddha sometimes appears in imagery related to the seven buddhas of healing. </w:t>
      </w:r>
      <w:r w:rsidR="00280F28">
        <w:t xml:space="preserve">The chapter </w:t>
      </w:r>
      <w:r w:rsidR="00324BF0">
        <w:t>pays special attention to</w:t>
      </w:r>
      <w:r w:rsidR="00280F28">
        <w:t xml:space="preserve"> how books get taken up in ritual performances, and ultimately </w:t>
      </w:r>
      <w:r w:rsidR="00EA1711">
        <w:t xml:space="preserve">provides the grounding to </w:t>
      </w:r>
      <w:r w:rsidR="00280F28">
        <w:t xml:space="preserve">correct the </w:t>
      </w:r>
      <w:r w:rsidR="00EA1711">
        <w:t xml:space="preserve">current </w:t>
      </w:r>
      <w:r w:rsidR="00280F28">
        <w:t xml:space="preserve">tendency to claim a Perfection of Wisdom text is at the center of Medicine Buddha </w:t>
      </w:r>
      <w:r w:rsidR="006463C8">
        <w:t>m</w:t>
      </w:r>
      <w:r w:rsidR="00280F28">
        <w:t>andalas</w:t>
      </w:r>
      <w:r w:rsidR="0092554C">
        <w:t xml:space="preserve"> with texts</w:t>
      </w:r>
      <w:r w:rsidR="00280F28">
        <w:t xml:space="preserve">. </w:t>
      </w:r>
    </w:p>
    <w:p w14:paraId="29C9FF7B" w14:textId="6D04D29F" w:rsidR="00032AB8" w:rsidRPr="00032AB8" w:rsidRDefault="00032AB8" w:rsidP="00032AB8">
      <w:pPr>
        <w:pStyle w:val="Heading3"/>
        <w:rPr>
          <w:b/>
          <w:bCs/>
        </w:rPr>
      </w:pPr>
      <w:r w:rsidRPr="00032AB8">
        <w:rPr>
          <w:b/>
          <w:bCs/>
        </w:rPr>
        <w:t xml:space="preserve">Chapter </w:t>
      </w:r>
      <w:r w:rsidR="00851D3E">
        <w:rPr>
          <w:b/>
          <w:bCs/>
        </w:rPr>
        <w:t>4</w:t>
      </w:r>
      <w:r w:rsidRPr="00032AB8">
        <w:rPr>
          <w:b/>
          <w:bCs/>
        </w:rPr>
        <w:t xml:space="preserve">: </w:t>
      </w:r>
      <w:r w:rsidR="000465DF">
        <w:rPr>
          <w:b/>
          <w:bCs/>
        </w:rPr>
        <w:t>A New M</w:t>
      </w:r>
      <w:r w:rsidR="00147059">
        <w:rPr>
          <w:b/>
          <w:bCs/>
        </w:rPr>
        <w:t>aterialis</w:t>
      </w:r>
      <w:r w:rsidR="000465DF">
        <w:rPr>
          <w:b/>
          <w:bCs/>
        </w:rPr>
        <w:t xml:space="preserve">t Reading of </w:t>
      </w:r>
      <w:r w:rsidR="0084461D">
        <w:rPr>
          <w:b/>
          <w:bCs/>
        </w:rPr>
        <w:t xml:space="preserve">Books as Buddhas </w:t>
      </w:r>
      <w:r w:rsidR="000465DF">
        <w:rPr>
          <w:b/>
          <w:bCs/>
        </w:rPr>
        <w:t xml:space="preserve"> </w:t>
      </w:r>
    </w:p>
    <w:p w14:paraId="58AEF84B" w14:textId="4B7D83CC" w:rsidR="00851D3E" w:rsidRDefault="00851D3E" w:rsidP="00851D3E">
      <w:pPr>
        <w:ind w:left="360"/>
        <w:rPr>
          <w:b/>
          <w:bCs/>
          <w:sz w:val="22"/>
          <w:szCs w:val="22"/>
        </w:rPr>
      </w:pPr>
    </w:p>
    <w:p w14:paraId="6415CAB5" w14:textId="32D1737D" w:rsidR="002D4C01" w:rsidRDefault="0062186F" w:rsidP="00EE7BAA">
      <w:pPr>
        <w:spacing w:line="480" w:lineRule="auto"/>
        <w:ind w:firstLine="720"/>
      </w:pPr>
      <w:r>
        <w:t xml:space="preserve">Chapter 4 </w:t>
      </w:r>
      <w:r w:rsidR="002D4C01">
        <w:t>puts Buddhism and new materialism in dialogue for the first time</w:t>
      </w:r>
      <w:r w:rsidR="001171B9">
        <w:t xml:space="preserve"> and </w:t>
      </w:r>
      <w:r w:rsidR="00BF4477">
        <w:t xml:space="preserve">provides a new materialist reading of books as buddhas following the </w:t>
      </w:r>
      <w:r>
        <w:t>research program set out in the previous chapters</w:t>
      </w:r>
      <w:r w:rsidR="0084461D">
        <w:t xml:space="preserve">. </w:t>
      </w:r>
      <w:r w:rsidR="002848AA">
        <w:t>The foregoing chapters</w:t>
      </w:r>
      <w:r w:rsidR="0084461D">
        <w:t xml:space="preserve"> </w:t>
      </w:r>
      <w:r w:rsidR="002848AA">
        <w:t xml:space="preserve">have </w:t>
      </w:r>
      <w:r w:rsidR="00CB59B7">
        <w:t>emphasize</w:t>
      </w:r>
      <w:r w:rsidR="002848AA">
        <w:t>d</w:t>
      </w:r>
      <w:r w:rsidR="0084461D">
        <w:t xml:space="preserve"> a material</w:t>
      </w:r>
      <w:r w:rsidR="007F10BF">
        <w:t xml:space="preserve"> and ritual</w:t>
      </w:r>
      <w:r w:rsidR="0084461D">
        <w:t xml:space="preserve"> rather than purely text</w:t>
      </w:r>
      <w:r w:rsidR="00E222AF">
        <w:t>-critical</w:t>
      </w:r>
      <w:r w:rsidR="0084461D">
        <w:t xml:space="preserve"> engagement with the possibility of books as buddhas</w:t>
      </w:r>
      <w:r w:rsidR="002848AA">
        <w:t xml:space="preserve">. They have </w:t>
      </w:r>
      <w:r w:rsidR="0084461D">
        <w:lastRenderedPageBreak/>
        <w:t>demonstrat</w:t>
      </w:r>
      <w:r w:rsidR="002848AA">
        <w:t>ed</w:t>
      </w:r>
      <w:r w:rsidR="0084461D">
        <w:t xml:space="preserve"> that the Perfection of Wisdom </w:t>
      </w:r>
      <w:r w:rsidR="007F10BF">
        <w:t xml:space="preserve">genre </w:t>
      </w:r>
      <w:r w:rsidR="0084461D">
        <w:t xml:space="preserve">is not the only place to turn when considering </w:t>
      </w:r>
      <w:r w:rsidR="009A50BF">
        <w:t>this possibility</w:t>
      </w:r>
      <w:r w:rsidR="001171B9">
        <w:t xml:space="preserve"> </w:t>
      </w:r>
      <w:r w:rsidR="00630F7B">
        <w:t>and</w:t>
      </w:r>
      <w:r w:rsidR="0084461D">
        <w:t xml:space="preserve"> </w:t>
      </w:r>
      <w:r w:rsidR="009A50BF">
        <w:t xml:space="preserve">that </w:t>
      </w:r>
      <w:r w:rsidR="002848AA">
        <w:t>images and ritual performances</w:t>
      </w:r>
      <w:r w:rsidR="002A2D0B">
        <w:t xml:space="preserve"> are </w:t>
      </w:r>
      <w:r w:rsidR="00891EE8">
        <w:t xml:space="preserve">uniquely </w:t>
      </w:r>
      <w:r w:rsidR="002A2D0B">
        <w:t>generative</w:t>
      </w:r>
      <w:r w:rsidR="00E222AF">
        <w:t xml:space="preserve"> of </w:t>
      </w:r>
      <w:r w:rsidR="002848AA">
        <w:t>and contribute to it</w:t>
      </w:r>
      <w:r w:rsidR="00891EE8">
        <w:t xml:space="preserve">. </w:t>
      </w:r>
      <w:r w:rsidR="007F10BF">
        <w:t>I weave these threads together following Thomas Nail’s work on new materialism (</w:t>
      </w:r>
      <w:r w:rsidR="0098305C">
        <w:t>2019a/b</w:t>
      </w:r>
      <w:r w:rsidR="007F10BF">
        <w:t>).</w:t>
      </w:r>
      <w:r w:rsidR="007F10BF" w:rsidRPr="00AE66AC">
        <w:t xml:space="preserve"> </w:t>
      </w:r>
      <w:r w:rsidR="007F10BF">
        <w:t xml:space="preserve">The conceptual starting point for new materialisms is </w:t>
      </w:r>
      <w:r w:rsidR="00CA19C0">
        <w:t xml:space="preserve">the </w:t>
      </w:r>
      <w:r w:rsidR="007F10BF">
        <w:t>view that matter is not passive but active (</w:t>
      </w:r>
      <w:r w:rsidR="0098305C">
        <w:t>Gamble, et al., 2019</w:t>
      </w:r>
      <w:r w:rsidR="007F10BF">
        <w:t>). Nail</w:t>
      </w:r>
      <w:r w:rsidR="0098305C">
        <w:t>’s focus is</w:t>
      </w:r>
      <w:r w:rsidR="001171B9">
        <w:t xml:space="preserve"> on</w:t>
      </w:r>
      <w:r w:rsidR="0098305C">
        <w:t xml:space="preserve"> the </w:t>
      </w:r>
      <w:r w:rsidR="007F10BF">
        <w:t>primacy of motion or movement, and I will discuss how Buddhist books, images, and rituals generate different patterns of motion</w:t>
      </w:r>
      <w:r w:rsidR="0098305C">
        <w:t xml:space="preserve"> that express buddhahood or contribute to the </w:t>
      </w:r>
      <w:r w:rsidR="0092554C">
        <w:t>possibility</w:t>
      </w:r>
      <w:r w:rsidR="0098305C">
        <w:t xml:space="preserve"> of a book being a buddha. </w:t>
      </w:r>
    </w:p>
    <w:p w14:paraId="778FC0FD" w14:textId="609F7362" w:rsidR="00851D3E" w:rsidRDefault="0098305C" w:rsidP="00EE7BAA">
      <w:pPr>
        <w:spacing w:line="480" w:lineRule="auto"/>
        <w:ind w:firstLine="720"/>
      </w:pPr>
      <w:r>
        <w:t xml:space="preserve">I </w:t>
      </w:r>
      <w:r w:rsidR="007F10BF">
        <w:t xml:space="preserve">start with </w:t>
      </w:r>
      <w:r w:rsidR="00E222AF">
        <w:t xml:space="preserve">what materiality does more generally and then </w:t>
      </w:r>
      <w:r>
        <w:t xml:space="preserve">concentrate on </w:t>
      </w:r>
      <w:r w:rsidR="00E222AF">
        <w:t xml:space="preserve">what </w:t>
      </w:r>
      <w:r w:rsidR="00D57F22">
        <w:t xml:space="preserve">Buddhist </w:t>
      </w:r>
      <w:r w:rsidR="00E222AF">
        <w:t>books</w:t>
      </w:r>
      <w:r w:rsidR="00AE66AC">
        <w:t xml:space="preserve">, </w:t>
      </w:r>
      <w:r w:rsidR="007F10BF">
        <w:t>images</w:t>
      </w:r>
      <w:r w:rsidR="00AE66AC">
        <w:t xml:space="preserve">, and ritual performances </w:t>
      </w:r>
      <w:r w:rsidR="00E222AF">
        <w:t xml:space="preserve">do more specifically. </w:t>
      </w:r>
      <w:r w:rsidR="00154EAC">
        <w:t>More generally, materiality</w:t>
      </w:r>
      <w:r w:rsidR="007F10BF">
        <w:t xml:space="preserve"> or matter</w:t>
      </w:r>
      <w:r>
        <w:t xml:space="preserve"> is</w:t>
      </w:r>
      <w:r w:rsidR="00154EAC">
        <w:t xml:space="preserve"> in motion (or motion is constitutive of beings themselves), and every phenomenon is a participant in this more general performance of matter. </w:t>
      </w:r>
      <w:r w:rsidR="00910A32">
        <w:t>As such</w:t>
      </w:r>
      <w:r w:rsidR="003E6CC0">
        <w:t xml:space="preserve">, objects like Buddhist books and mandalas constitute (or perform) agency differently and interactively through their materiality. </w:t>
      </w:r>
      <w:r w:rsidR="00CC72ED">
        <w:t>For instance, they perform history (</w:t>
      </w:r>
      <w:r w:rsidR="00D92990">
        <w:t>foreclosing</w:t>
      </w:r>
      <w:r w:rsidR="00CC72ED">
        <w:t xml:space="preserve"> or </w:t>
      </w:r>
      <w:r w:rsidR="00904A5C">
        <w:t>maintaining</w:t>
      </w:r>
      <w:r w:rsidR="00CC72ED">
        <w:t xml:space="preserve"> what is remembered)</w:t>
      </w:r>
      <w:r w:rsidR="00D92990">
        <w:t xml:space="preserve"> and relationships</w:t>
      </w:r>
      <w:r w:rsidR="00CC72ED">
        <w:t xml:space="preserve"> (</w:t>
      </w:r>
      <w:r w:rsidR="00D92990">
        <w:t>governing</w:t>
      </w:r>
      <w:r w:rsidR="00CC72ED">
        <w:t xml:space="preserve"> how we connect </w:t>
      </w:r>
      <w:r w:rsidR="00D92990">
        <w:t xml:space="preserve">with the world and others </w:t>
      </w:r>
      <w:r w:rsidR="00CC72ED">
        <w:t>and producing new ways of connecting).</w:t>
      </w:r>
      <w:r w:rsidR="00D92990">
        <w:t xml:space="preserve"> </w:t>
      </w:r>
      <w:r>
        <w:t>This</w:t>
      </w:r>
      <w:r w:rsidR="003E6CC0">
        <w:t xml:space="preserve"> performative view of matter</w:t>
      </w:r>
      <w:r w:rsidR="00C712C9">
        <w:t xml:space="preserve"> recognizes that the </w:t>
      </w:r>
      <w:r w:rsidR="003E6CC0">
        <w:t>material conditions of Buddhist books and mandalas produce and delimit (though never fully determine) the conditions</w:t>
      </w:r>
      <w:r w:rsidR="003E6CC0" w:rsidRPr="00615886">
        <w:t xml:space="preserve"> </w:t>
      </w:r>
      <w:r w:rsidR="003E6CC0">
        <w:t>of their circulation and persistence</w:t>
      </w:r>
      <w:r w:rsidR="007F10BF">
        <w:t>. At the same time, their materiality</w:t>
      </w:r>
      <w:r w:rsidR="003E6CC0">
        <w:t xml:space="preserve"> help</w:t>
      </w:r>
      <w:r w:rsidR="007F10BF">
        <w:t>s</w:t>
      </w:r>
      <w:r w:rsidR="003E6CC0">
        <w:t xml:space="preserve"> enable or disable the materialization of other bodies. </w:t>
      </w:r>
      <w:r w:rsidR="00AE66AC">
        <w:t xml:space="preserve">For instance, the consumption of books and mandalas encourage different patterns of </w:t>
      </w:r>
      <w:r w:rsidR="001171B9">
        <w:t xml:space="preserve">motion, such as </w:t>
      </w:r>
      <w:r>
        <w:t xml:space="preserve">ritual performances. </w:t>
      </w:r>
      <w:r w:rsidR="003E6CC0">
        <w:t xml:space="preserve">In effect, Buddhist books and mandalas are differentiated from other materials only in their capacities for making salient Buddhist concerns. </w:t>
      </w:r>
      <w:r w:rsidR="00C712C9">
        <w:t xml:space="preserve">This accords with the Buddhist view that the </w:t>
      </w:r>
      <w:r w:rsidR="004A1F27">
        <w:t xml:space="preserve">Buddha’s </w:t>
      </w:r>
      <w:r w:rsidR="00C712C9">
        <w:t xml:space="preserve">awakened </w:t>
      </w:r>
      <w:r w:rsidR="004A1F27">
        <w:t>qualities</w:t>
      </w:r>
      <w:r w:rsidR="00C712C9">
        <w:t xml:space="preserve"> are omnipresent, and that, as such, all matter can in principle articulate Buddhism</w:t>
      </w:r>
      <w:r w:rsidR="004A1F27">
        <w:sym w:font="Symbol" w:char="F0BE"/>
      </w:r>
      <w:r w:rsidR="004A1F27">
        <w:t>or</w:t>
      </w:r>
      <w:r w:rsidR="0069413C">
        <w:t>,</w:t>
      </w:r>
      <w:r w:rsidR="004A1F27">
        <w:t xml:space="preserve"> in this case, be a buddha. </w:t>
      </w:r>
    </w:p>
    <w:p w14:paraId="4622AC25" w14:textId="7CD918D4" w:rsidR="00032AB8" w:rsidRPr="00032AB8" w:rsidRDefault="00032AB8" w:rsidP="00032AB8">
      <w:pPr>
        <w:pStyle w:val="Heading3"/>
        <w:rPr>
          <w:b/>
          <w:bCs/>
        </w:rPr>
      </w:pPr>
      <w:r w:rsidRPr="00032AB8">
        <w:rPr>
          <w:b/>
          <w:bCs/>
        </w:rPr>
        <w:lastRenderedPageBreak/>
        <w:t xml:space="preserve">Chapter 5: </w:t>
      </w:r>
      <w:r w:rsidR="00147059">
        <w:rPr>
          <w:b/>
          <w:bCs/>
        </w:rPr>
        <w:t xml:space="preserve">Translation of </w:t>
      </w:r>
      <w:r w:rsidR="00147059" w:rsidRPr="00147059">
        <w:rPr>
          <w:b/>
          <w:bCs/>
          <w:i/>
          <w:iCs/>
        </w:rPr>
        <w:t>The Wish-Fulfilling King</w:t>
      </w:r>
    </w:p>
    <w:p w14:paraId="3B32D31F" w14:textId="77777777" w:rsidR="00032AB8" w:rsidRDefault="00032AB8" w:rsidP="00032AB8"/>
    <w:p w14:paraId="6DD72E91" w14:textId="4B701D42" w:rsidR="00E8561D" w:rsidRPr="00EE7BAA" w:rsidRDefault="00854D21" w:rsidP="00EE7BAA">
      <w:pPr>
        <w:spacing w:line="480" w:lineRule="auto"/>
        <w:ind w:firstLine="720"/>
      </w:pPr>
      <w:r>
        <w:t xml:space="preserve">Chapter 5 is a complete </w:t>
      </w:r>
      <w:r w:rsidR="00904A5C">
        <w:t xml:space="preserve">English </w:t>
      </w:r>
      <w:r>
        <w:t xml:space="preserve">translation of </w:t>
      </w:r>
      <w:r w:rsidRPr="00854D21">
        <w:rPr>
          <w:i/>
          <w:iCs/>
        </w:rPr>
        <w:t>The Wish-Fulfilling King</w:t>
      </w:r>
      <w:r w:rsidR="003D4019" w:rsidRPr="003D4019">
        <w:t xml:space="preserve"> </w:t>
      </w:r>
      <w:r w:rsidR="003D4019">
        <w:t xml:space="preserve">based upon </w:t>
      </w:r>
      <w:r w:rsidR="00EE4BF7">
        <w:t>the</w:t>
      </w:r>
      <w:r w:rsidR="003D4019">
        <w:t xml:space="preserve"> Tibetan language editions</w:t>
      </w:r>
      <w:r w:rsidR="00EE4BF7">
        <w:t xml:space="preserve"> that</w:t>
      </w:r>
      <w:r w:rsidR="005259CA">
        <w:t xml:space="preserve"> my study followed</w:t>
      </w:r>
      <w:r w:rsidR="003D4019">
        <w:t xml:space="preserve">. Although </w:t>
      </w:r>
      <w:r w:rsidR="001C40B5">
        <w:t>the text has been translated into</w:t>
      </w:r>
      <w:r w:rsidR="00C46CC5">
        <w:t xml:space="preserve"> Chinese</w:t>
      </w:r>
      <w:r w:rsidR="001C40B5">
        <w:t xml:space="preserve"> and</w:t>
      </w:r>
      <w:r w:rsidR="00494C25">
        <w:t xml:space="preserve"> Mongolian</w:t>
      </w:r>
      <w:r w:rsidR="003D4019">
        <w:t xml:space="preserve">, </w:t>
      </w:r>
      <w:r w:rsidR="00E31E69">
        <w:t>it has</w:t>
      </w:r>
      <w:r w:rsidR="003D4019">
        <w:t xml:space="preserve"> </w:t>
      </w:r>
      <w:r w:rsidR="00E31E69">
        <w:t>hitherto not been available in</w:t>
      </w:r>
      <w:r w:rsidR="003D4019">
        <w:t xml:space="preserve"> English. </w:t>
      </w:r>
      <w:r>
        <w:t>As much as my dissertation is a visual study, it is also a literary one,</w:t>
      </w:r>
      <w:r w:rsidR="008A5397">
        <w:t xml:space="preserve"> </w:t>
      </w:r>
      <w:r w:rsidR="00904A5C">
        <w:t>with</w:t>
      </w:r>
      <w:r w:rsidR="00BF4477">
        <w:t xml:space="preserve"> the Dalai Lama’s text </w:t>
      </w:r>
      <w:r w:rsidR="00E31E69">
        <w:t>serving as an</w:t>
      </w:r>
      <w:r w:rsidR="00BF4477">
        <w:t xml:space="preserve"> evidentiary basis for rereading Medicine Buddha </w:t>
      </w:r>
      <w:r w:rsidR="006463C8">
        <w:t>m</w:t>
      </w:r>
      <w:r w:rsidR="00BF4477">
        <w:t>andalas</w:t>
      </w:r>
      <w:r w:rsidR="0092554C">
        <w:t xml:space="preserve"> with texts</w:t>
      </w:r>
      <w:r w:rsidR="00BF4477">
        <w:t>.</w:t>
      </w:r>
      <w:r w:rsidR="00E31E69">
        <w:t xml:space="preserve"> </w:t>
      </w:r>
      <w:r w:rsidR="00E31E69" w:rsidRPr="00E31E69">
        <w:t>In addition to</w:t>
      </w:r>
      <w:r w:rsidR="00BF4477" w:rsidRPr="00E31E69">
        <w:t xml:space="preserve"> </w:t>
      </w:r>
      <w:r w:rsidR="00E31E69" w:rsidRPr="00E31E69">
        <w:t xml:space="preserve">the </w:t>
      </w:r>
      <w:r w:rsidR="00E8561D" w:rsidRPr="00E31E69">
        <w:t xml:space="preserve">visual sources </w:t>
      </w:r>
      <w:r w:rsidR="00E31E69" w:rsidRPr="00E31E69">
        <w:t>my dissertation highlights,</w:t>
      </w:r>
      <w:r w:rsidR="00E31E69">
        <w:t xml:space="preserve"> this chapter will give readers </w:t>
      </w:r>
      <w:r w:rsidR="00E31E69" w:rsidRPr="00E31E69">
        <w:t>interested in similar research agendas</w:t>
      </w:r>
      <w:r w:rsidR="00E31E69">
        <w:t xml:space="preserve"> a chance to familiarize themselves with one of the most important </w:t>
      </w:r>
      <w:r w:rsidR="0092554C">
        <w:t>works</w:t>
      </w:r>
      <w:r w:rsidR="00E31E69">
        <w:t xml:space="preserve"> in the conversation. </w:t>
      </w:r>
    </w:p>
    <w:p w14:paraId="54340FAE" w14:textId="75646ECB" w:rsidR="001424EE" w:rsidRDefault="001424EE" w:rsidP="00C158DD">
      <w:pPr>
        <w:pStyle w:val="Heading2"/>
      </w:pPr>
      <w:r>
        <w:t xml:space="preserve">6. Statement of Bibliographical Method </w:t>
      </w:r>
    </w:p>
    <w:p w14:paraId="2DA43197" w14:textId="77777777" w:rsidR="001424EE" w:rsidRDefault="001424EE" w:rsidP="001424EE">
      <w:pPr>
        <w:ind w:firstLine="720"/>
      </w:pPr>
    </w:p>
    <w:p w14:paraId="018F3470" w14:textId="77777777" w:rsidR="00EE7BAA" w:rsidRDefault="00281BB0" w:rsidP="00EE7BAA">
      <w:pPr>
        <w:spacing w:line="480" w:lineRule="auto"/>
        <w:ind w:firstLine="720"/>
      </w:pPr>
      <w:r>
        <w:t>In order to discern relevant sources f</w:t>
      </w:r>
      <w:r w:rsidR="001424EE">
        <w:t>or this dissertation, I have drawn heavily on my background in philosophy and coursework for the JDP. That said, research for this specific topic began in earnest in the Winter 2022 quarter, during my Comprehensive Review IV: Knowledge in Minor Areas and Subfields, which took material perspectives on sacred books in Buddhism</w:t>
      </w:r>
      <w:r w:rsidR="001424EE" w:rsidRPr="0061700E">
        <w:t xml:space="preserve"> </w:t>
      </w:r>
      <w:r w:rsidR="001424EE">
        <w:t>as its subject. My advisor and second reader for that exam have remained indispensable resources, pointing me toward key works and informing me about new materials. In addition to mining each of the primary and secondary sources</w:t>
      </w:r>
      <w:r w:rsidR="005D0195">
        <w:t xml:space="preserve"> </w:t>
      </w:r>
      <w:r w:rsidR="001424EE">
        <w:t>that became the bibliography for that comprehensive exam, I continue to collect resources through Compass, Prospector, and World</w:t>
      </w:r>
      <w:r w:rsidR="00487B9C">
        <w:t>C</w:t>
      </w:r>
      <w:r w:rsidR="001424EE">
        <w:t xml:space="preserve">at, as well as pursuing more targeted searches using databases like JSTOR and </w:t>
      </w:r>
      <w:r>
        <w:t xml:space="preserve">the </w:t>
      </w:r>
      <w:r w:rsidR="001424EE">
        <w:t>ALTA</w:t>
      </w:r>
      <w:r w:rsidR="00487B9C">
        <w:t xml:space="preserve"> Religion Database</w:t>
      </w:r>
      <w:r w:rsidR="001424EE">
        <w:t xml:space="preserve">. </w:t>
      </w:r>
    </w:p>
    <w:p w14:paraId="7DE05E02" w14:textId="745B17E6" w:rsidR="001424EE" w:rsidRDefault="001424EE" w:rsidP="00EE7BAA">
      <w:pPr>
        <w:spacing w:line="480" w:lineRule="auto"/>
        <w:ind w:firstLine="720"/>
      </w:pPr>
      <w:r>
        <w:t xml:space="preserve">My searches </w:t>
      </w:r>
      <w:r w:rsidR="00E27BC0">
        <w:t>are</w:t>
      </w:r>
      <w:r>
        <w:t xml:space="preserve"> centered around seven </w:t>
      </w:r>
      <w:r w:rsidR="00E27BC0">
        <w:t xml:space="preserve">individual or linked </w:t>
      </w:r>
      <w:r>
        <w:t xml:space="preserve">topics: (1) medicine buddha, (2) mandala, (3) </w:t>
      </w:r>
      <w:r w:rsidR="00BE38A7">
        <w:t>Tibetan medical paintings</w:t>
      </w:r>
      <w:r>
        <w:t xml:space="preserve">, (4) Buddhist </w:t>
      </w:r>
      <w:r w:rsidR="00487B9C">
        <w:t>medicine</w:t>
      </w:r>
      <w:r>
        <w:t>, (5) Buddhist book culture, (6) the Fifth Dalai Lama, (7) and new materialism. In order to track down specific Tibetan texts and figures, I consult</w:t>
      </w:r>
      <w:r w:rsidR="00487B9C">
        <w:t xml:space="preserve"> </w:t>
      </w:r>
      <w:r>
        <w:t xml:space="preserve">various online library resources that are specific to Buddhist studies. These include the Buddhist Digital Resource Center (BDRC), 84000: Translating the Words of the </w:t>
      </w:r>
      <w:r>
        <w:lastRenderedPageBreak/>
        <w:t xml:space="preserve">Buddha, and The Treasury of Lives. </w:t>
      </w:r>
      <w:r w:rsidR="00487B9C">
        <w:t xml:space="preserve">Additionally, </w:t>
      </w:r>
      <w:r>
        <w:t xml:space="preserve">Himalayan Art Resources is </w:t>
      </w:r>
      <w:r w:rsidR="00576540">
        <w:t xml:space="preserve">a </w:t>
      </w:r>
      <w:r>
        <w:t xml:space="preserve">Buddhist studies resource that has been indispensable for dating and locating the Medicine Buddha </w:t>
      </w:r>
      <w:r w:rsidR="006463C8">
        <w:t>m</w:t>
      </w:r>
      <w:r>
        <w:t xml:space="preserve">andalas. My resources at this point range from the first century CE to the present day. </w:t>
      </w:r>
    </w:p>
    <w:p w14:paraId="789BB817" w14:textId="6C4A6A64" w:rsidR="00C158DD" w:rsidRPr="00DF2EDA" w:rsidRDefault="001424EE" w:rsidP="00C158DD">
      <w:pPr>
        <w:pStyle w:val="Heading2"/>
      </w:pPr>
      <w:r>
        <w:t>7</w:t>
      </w:r>
      <w:r w:rsidR="00C158DD">
        <w:t xml:space="preserve">. Provisional Bibliography </w:t>
      </w:r>
    </w:p>
    <w:p w14:paraId="461C05EF" w14:textId="77777777" w:rsidR="0042111C" w:rsidRDefault="0042111C" w:rsidP="0042111C">
      <w:pPr>
        <w:ind w:hanging="480"/>
        <w:rPr>
          <w:rFonts w:eastAsia="Times New Roman"/>
          <w:lang w:bidi="bo-CN"/>
        </w:rPr>
      </w:pPr>
    </w:p>
    <w:p w14:paraId="6418B251" w14:textId="51EB4BF3" w:rsidR="0042111C" w:rsidRPr="0042111C" w:rsidRDefault="0042111C" w:rsidP="00AF4C05">
      <w:pPr>
        <w:ind w:left="480" w:hanging="480"/>
        <w:rPr>
          <w:rFonts w:eastAsia="Times New Roman"/>
          <w:lang w:bidi="bo-CN"/>
        </w:rPr>
      </w:pPr>
      <w:r w:rsidRPr="0042111C">
        <w:rPr>
          <w:rFonts w:eastAsia="Times New Roman"/>
          <w:lang w:bidi="bo-CN"/>
        </w:rPr>
        <w:t xml:space="preserve">Adams, Vincanne. “The Sacred in the Scientific: Ambiguous Practices of Science in Tibetan Medicine.” </w:t>
      </w:r>
      <w:r w:rsidRPr="0042111C">
        <w:rPr>
          <w:rFonts w:eastAsia="Times New Roman"/>
          <w:i/>
          <w:iCs/>
          <w:lang w:bidi="bo-CN"/>
        </w:rPr>
        <w:t>Cultural Anthropology</w:t>
      </w:r>
      <w:r w:rsidRPr="0042111C">
        <w:rPr>
          <w:rFonts w:eastAsia="Times New Roman"/>
          <w:lang w:bidi="bo-CN"/>
        </w:rPr>
        <w:t xml:space="preserve"> 16, no. 4 (November 2001): 542–</w:t>
      </w:r>
      <w:r w:rsidR="00AE2581">
        <w:rPr>
          <w:rFonts w:eastAsia="Times New Roman"/>
          <w:lang w:bidi="bo-CN"/>
        </w:rPr>
        <w:t>5</w:t>
      </w:r>
      <w:r w:rsidRPr="0042111C">
        <w:rPr>
          <w:rFonts w:eastAsia="Times New Roman"/>
          <w:lang w:bidi="bo-CN"/>
        </w:rPr>
        <w:t xml:space="preserve">75. </w:t>
      </w:r>
    </w:p>
    <w:p w14:paraId="22AFDD11" w14:textId="77777777" w:rsidR="0042111C" w:rsidRDefault="0042111C" w:rsidP="00AF4C05">
      <w:pPr>
        <w:ind w:left="480" w:hanging="480"/>
        <w:rPr>
          <w:rFonts w:eastAsia="Times New Roman"/>
          <w:lang w:bidi="bo-CN"/>
        </w:rPr>
      </w:pPr>
    </w:p>
    <w:p w14:paraId="227DCC22" w14:textId="669FFCBD" w:rsidR="0042111C" w:rsidRPr="0042111C" w:rsidRDefault="0042111C" w:rsidP="00AF4C05">
      <w:pPr>
        <w:ind w:left="480" w:hanging="480"/>
        <w:rPr>
          <w:rFonts w:eastAsia="Times New Roman"/>
          <w:lang w:bidi="bo-CN"/>
        </w:rPr>
      </w:pPr>
      <w:r w:rsidRPr="0042111C">
        <w:rPr>
          <w:rFonts w:eastAsia="Times New Roman"/>
          <w:lang w:bidi="bo-CN"/>
        </w:rPr>
        <w:t xml:space="preserve">Adams, Vincanne, Mona Schrempf, and Sienna R. Craig, eds. </w:t>
      </w:r>
      <w:r w:rsidRPr="0042111C">
        <w:rPr>
          <w:rFonts w:eastAsia="Times New Roman"/>
          <w:i/>
          <w:iCs/>
          <w:lang w:bidi="bo-CN"/>
        </w:rPr>
        <w:t>Medicine between Science and Religion: Explorations on Tibetan Grounds</w:t>
      </w:r>
      <w:r w:rsidRPr="0042111C">
        <w:rPr>
          <w:rFonts w:eastAsia="Times New Roman"/>
          <w:lang w:bidi="bo-CN"/>
        </w:rPr>
        <w:t>. Epistemologies of Healing, v. 10. New York: Berghahn Books, 2011.</w:t>
      </w:r>
    </w:p>
    <w:p w14:paraId="2C8471A3" w14:textId="77777777" w:rsidR="0042111C" w:rsidRDefault="0042111C" w:rsidP="00AF4C05">
      <w:pPr>
        <w:ind w:left="480" w:hanging="480"/>
        <w:rPr>
          <w:rFonts w:eastAsia="Times New Roman"/>
          <w:lang w:bidi="bo-CN"/>
        </w:rPr>
      </w:pPr>
    </w:p>
    <w:p w14:paraId="4F0CF936" w14:textId="3C1C80C2" w:rsidR="0042111C" w:rsidRPr="0042111C" w:rsidRDefault="0042111C" w:rsidP="00AF4C05">
      <w:pPr>
        <w:ind w:left="480" w:hanging="480"/>
        <w:rPr>
          <w:rFonts w:eastAsia="Times New Roman"/>
          <w:lang w:bidi="bo-CN"/>
        </w:rPr>
      </w:pPr>
      <w:r w:rsidRPr="0042111C">
        <w:rPr>
          <w:rFonts w:eastAsia="Times New Roman"/>
          <w:lang w:bidi="bo-CN"/>
        </w:rPr>
        <w:t xml:space="preserve">American Museum of Natural History, Laila Williamson, and Serinity Young, eds. </w:t>
      </w:r>
      <w:r w:rsidRPr="0042111C">
        <w:rPr>
          <w:rFonts w:eastAsia="Times New Roman"/>
          <w:i/>
          <w:iCs/>
          <w:lang w:bidi="bo-CN"/>
        </w:rPr>
        <w:t>Body and Spirit: Tibetan Medical Paintings</w:t>
      </w:r>
      <w:r w:rsidRPr="0042111C">
        <w:rPr>
          <w:rFonts w:eastAsia="Times New Roman"/>
          <w:lang w:bidi="bo-CN"/>
        </w:rPr>
        <w:t>. 1st ed. New York: American Museum of Natural History in association with University of Washington Press, 2009.</w:t>
      </w:r>
    </w:p>
    <w:p w14:paraId="2ABCC405" w14:textId="77777777" w:rsidR="0042111C" w:rsidRDefault="0042111C" w:rsidP="00AF4C05">
      <w:pPr>
        <w:ind w:left="480" w:hanging="480"/>
        <w:rPr>
          <w:rFonts w:eastAsia="Times New Roman"/>
          <w:lang w:bidi="bo-CN"/>
        </w:rPr>
      </w:pPr>
    </w:p>
    <w:p w14:paraId="3FC163AF" w14:textId="4FC0990F" w:rsidR="0042111C" w:rsidRPr="0042111C" w:rsidRDefault="0042111C" w:rsidP="00AF4C05">
      <w:pPr>
        <w:ind w:left="480" w:hanging="480"/>
        <w:rPr>
          <w:rFonts w:eastAsia="Times New Roman"/>
          <w:lang w:bidi="bo-CN"/>
        </w:rPr>
      </w:pPr>
      <w:r w:rsidRPr="0042111C">
        <w:rPr>
          <w:rFonts w:eastAsia="Times New Roman"/>
          <w:lang w:bidi="bo-CN"/>
        </w:rPr>
        <w:t xml:space="preserve">Appadurai, Arjun. </w:t>
      </w:r>
      <w:r w:rsidRPr="0042111C">
        <w:rPr>
          <w:rFonts w:eastAsia="Times New Roman"/>
          <w:i/>
          <w:iCs/>
          <w:lang w:bidi="bo-CN"/>
        </w:rPr>
        <w:t>The Social Life of Things: Commodities in Cultural Perspective</w:t>
      </w:r>
      <w:r w:rsidRPr="0042111C">
        <w:rPr>
          <w:rFonts w:eastAsia="Times New Roman"/>
          <w:lang w:bidi="bo-CN"/>
        </w:rPr>
        <w:t>. Cambridge: Cambridge Univ. Press, 2013.</w:t>
      </w:r>
    </w:p>
    <w:p w14:paraId="179FFB45" w14:textId="77777777" w:rsidR="0042111C" w:rsidRDefault="0042111C" w:rsidP="00AF4C05">
      <w:pPr>
        <w:ind w:left="480" w:hanging="480"/>
        <w:rPr>
          <w:rFonts w:eastAsia="Times New Roman"/>
          <w:lang w:bidi="bo-CN"/>
        </w:rPr>
      </w:pPr>
    </w:p>
    <w:p w14:paraId="791A0CF5" w14:textId="765CE206" w:rsidR="0042111C" w:rsidRPr="0042111C" w:rsidRDefault="0042111C" w:rsidP="00AF4C05">
      <w:pPr>
        <w:ind w:left="480" w:hanging="480"/>
        <w:rPr>
          <w:rFonts w:eastAsia="Times New Roman"/>
          <w:lang w:bidi="bo-CN"/>
        </w:rPr>
      </w:pPr>
      <w:r w:rsidRPr="0042111C">
        <w:rPr>
          <w:rFonts w:eastAsia="Times New Roman"/>
          <w:lang w:bidi="bo-CN"/>
        </w:rPr>
        <w:t xml:space="preserve">Bentor, Yael. </w:t>
      </w:r>
      <w:r w:rsidRPr="0042111C">
        <w:rPr>
          <w:rFonts w:eastAsia="Times New Roman"/>
          <w:i/>
          <w:iCs/>
          <w:lang w:bidi="bo-CN"/>
        </w:rPr>
        <w:t>Consecration of Images and Stūpas in Indo-Tibetan Tantric Buddhism</w:t>
      </w:r>
      <w:r w:rsidRPr="0042111C">
        <w:rPr>
          <w:rFonts w:eastAsia="Times New Roman"/>
          <w:lang w:bidi="bo-CN"/>
        </w:rPr>
        <w:t>. Brill’s Indological Library, v. 11. Leiden; New York: Brill, 1996.</w:t>
      </w:r>
    </w:p>
    <w:p w14:paraId="4EF2581F" w14:textId="77777777" w:rsidR="0042111C" w:rsidRDefault="0042111C" w:rsidP="00AF4C05">
      <w:pPr>
        <w:ind w:left="480" w:hanging="480"/>
        <w:rPr>
          <w:rFonts w:eastAsia="Times New Roman"/>
          <w:lang w:bidi="bo-CN"/>
        </w:rPr>
      </w:pPr>
    </w:p>
    <w:p w14:paraId="777011C8" w14:textId="6F774DD8" w:rsidR="0042111C" w:rsidRPr="0042111C" w:rsidRDefault="0042111C" w:rsidP="00AF4C05">
      <w:pPr>
        <w:ind w:left="480" w:hanging="480"/>
        <w:rPr>
          <w:rFonts w:eastAsia="Times New Roman"/>
          <w:lang w:bidi="bo-CN"/>
        </w:rPr>
      </w:pPr>
      <w:r w:rsidRPr="0042111C">
        <w:rPr>
          <w:rFonts w:eastAsia="Times New Roman"/>
          <w:lang w:bidi="bo-CN"/>
        </w:rPr>
        <w:t xml:space="preserve">Birnbaum, Raoul. </w:t>
      </w:r>
      <w:r w:rsidRPr="0042111C">
        <w:rPr>
          <w:rFonts w:eastAsia="Times New Roman"/>
          <w:i/>
          <w:iCs/>
          <w:lang w:bidi="bo-CN"/>
        </w:rPr>
        <w:t>The Healing Buddha</w:t>
      </w:r>
      <w:r w:rsidRPr="0042111C">
        <w:rPr>
          <w:rFonts w:eastAsia="Times New Roman"/>
          <w:lang w:bidi="bo-CN"/>
        </w:rPr>
        <w:t>. Rev. ed. Boston: Shambhala, 1989.</w:t>
      </w:r>
    </w:p>
    <w:p w14:paraId="17D2BA23" w14:textId="77777777" w:rsidR="0042111C" w:rsidRDefault="0042111C" w:rsidP="00AF4C05">
      <w:pPr>
        <w:ind w:left="480" w:hanging="480"/>
        <w:rPr>
          <w:rFonts w:eastAsia="Times New Roman"/>
          <w:lang w:bidi="bo-CN"/>
        </w:rPr>
      </w:pPr>
    </w:p>
    <w:p w14:paraId="21670C63" w14:textId="422B7275" w:rsidR="0042111C" w:rsidRPr="0042111C" w:rsidRDefault="0042111C" w:rsidP="00AF4C05">
      <w:pPr>
        <w:ind w:left="480" w:hanging="480"/>
        <w:rPr>
          <w:rFonts w:eastAsia="Times New Roman"/>
          <w:lang w:bidi="bo-CN"/>
        </w:rPr>
      </w:pPr>
      <w:r w:rsidRPr="0042111C">
        <w:rPr>
          <w:rFonts w:eastAsia="Times New Roman"/>
          <w:lang w:bidi="bo-CN"/>
        </w:rPr>
        <w:t xml:space="preserve">Blo bzang ’phrin las, Dung dkar. “Tibetan Woodblock Printing: An Ancient Art and Craft.” Translated by Gonkatsang Tsering Dhundup. </w:t>
      </w:r>
      <w:r w:rsidRPr="0042111C">
        <w:rPr>
          <w:rFonts w:eastAsia="Times New Roman"/>
          <w:i/>
          <w:iCs/>
          <w:lang w:bidi="bo-CN"/>
        </w:rPr>
        <w:t>Himalaya</w:t>
      </w:r>
      <w:r w:rsidRPr="0042111C">
        <w:rPr>
          <w:rFonts w:eastAsia="Times New Roman"/>
          <w:lang w:bidi="bo-CN"/>
        </w:rPr>
        <w:t xml:space="preserve"> 36, no. 1 (May 2016): 163–77.</w:t>
      </w:r>
    </w:p>
    <w:p w14:paraId="2C05728A" w14:textId="77777777" w:rsidR="0042111C" w:rsidRDefault="0042111C" w:rsidP="00AF4C05">
      <w:pPr>
        <w:ind w:left="480" w:hanging="480"/>
        <w:rPr>
          <w:rFonts w:eastAsia="Times New Roman"/>
          <w:lang w:bidi="bo-CN"/>
        </w:rPr>
      </w:pPr>
    </w:p>
    <w:p w14:paraId="0952E6A5" w14:textId="0A3B9D12" w:rsidR="0042111C" w:rsidRPr="0042111C" w:rsidRDefault="0042111C" w:rsidP="00AF4C05">
      <w:pPr>
        <w:ind w:left="480" w:hanging="480"/>
        <w:rPr>
          <w:rFonts w:eastAsia="Times New Roman"/>
          <w:lang w:bidi="bo-CN"/>
        </w:rPr>
      </w:pPr>
      <w:r w:rsidRPr="0042111C">
        <w:rPr>
          <w:rFonts w:eastAsia="Times New Roman"/>
          <w:lang w:bidi="bo-CN"/>
        </w:rPr>
        <w:t xml:space="preserve">Bollmer, Grant. </w:t>
      </w:r>
      <w:r w:rsidRPr="0042111C">
        <w:rPr>
          <w:rFonts w:eastAsia="Times New Roman"/>
          <w:i/>
          <w:iCs/>
          <w:lang w:bidi="bo-CN"/>
        </w:rPr>
        <w:t>Materialist Media Theory: An Introduction</w:t>
      </w:r>
      <w:r w:rsidRPr="0042111C">
        <w:rPr>
          <w:rFonts w:eastAsia="Times New Roman"/>
          <w:lang w:bidi="bo-CN"/>
        </w:rPr>
        <w:t>. New York, NY, USA: Bloomsbury Publishing, Inc, 2019.</w:t>
      </w:r>
    </w:p>
    <w:p w14:paraId="0FF81BE1" w14:textId="77777777" w:rsidR="0042111C" w:rsidRDefault="0042111C" w:rsidP="00AF4C05">
      <w:pPr>
        <w:ind w:left="480" w:hanging="480"/>
        <w:rPr>
          <w:rFonts w:eastAsia="Times New Roman"/>
          <w:lang w:bidi="bo-CN"/>
        </w:rPr>
      </w:pPr>
    </w:p>
    <w:p w14:paraId="4C66EFA7" w14:textId="3C524035" w:rsidR="0042111C" w:rsidRPr="0042111C" w:rsidRDefault="0042111C" w:rsidP="00AF4C05">
      <w:pPr>
        <w:ind w:left="480" w:hanging="480"/>
        <w:rPr>
          <w:rFonts w:eastAsia="Times New Roman"/>
          <w:lang w:bidi="bo-CN"/>
        </w:rPr>
      </w:pPr>
      <w:r w:rsidRPr="0042111C">
        <w:rPr>
          <w:rFonts w:eastAsia="Times New Roman"/>
          <w:lang w:bidi="bo-CN"/>
        </w:rPr>
        <w:t xml:space="preserve">Bolsokhoyeva, Natalia. “Tibetan Medical Illustrations from the History Museum of Buryatia, Ulan Ude.” </w:t>
      </w:r>
      <w:r w:rsidRPr="0042111C">
        <w:rPr>
          <w:rFonts w:eastAsia="Times New Roman"/>
          <w:i/>
          <w:iCs/>
          <w:lang w:bidi="bo-CN"/>
        </w:rPr>
        <w:t>Asian Medicine</w:t>
      </w:r>
      <w:r w:rsidRPr="0042111C">
        <w:rPr>
          <w:rFonts w:eastAsia="Times New Roman"/>
          <w:lang w:bidi="bo-CN"/>
        </w:rPr>
        <w:t xml:space="preserve"> 3, no. 2 (October 16, 2007): 347–67. </w:t>
      </w:r>
    </w:p>
    <w:p w14:paraId="5F68F44F" w14:textId="77777777" w:rsidR="0042111C" w:rsidRDefault="0042111C" w:rsidP="00AF4C05">
      <w:pPr>
        <w:ind w:left="480" w:hanging="480"/>
        <w:rPr>
          <w:rFonts w:eastAsia="Times New Roman"/>
          <w:lang w:bidi="bo-CN"/>
        </w:rPr>
      </w:pPr>
    </w:p>
    <w:p w14:paraId="2404BDD9" w14:textId="587166E5" w:rsidR="0042111C" w:rsidRPr="0042111C" w:rsidRDefault="0042111C" w:rsidP="00AF4C05">
      <w:pPr>
        <w:ind w:left="480" w:hanging="480"/>
        <w:rPr>
          <w:rFonts w:eastAsia="Times New Roman"/>
          <w:lang w:bidi="bo-CN"/>
        </w:rPr>
      </w:pPr>
      <w:r w:rsidRPr="0042111C">
        <w:rPr>
          <w:rFonts w:eastAsia="Times New Roman"/>
          <w:lang w:bidi="bo-CN"/>
        </w:rPr>
        <w:t xml:space="preserve">Brox, Trine. “The Aura of Buddhist Material Objects in the Age of Mass-Production,” January 1, 2019. </w:t>
      </w:r>
    </w:p>
    <w:p w14:paraId="40932670" w14:textId="77777777" w:rsidR="0042111C" w:rsidRDefault="0042111C" w:rsidP="00AF4C05">
      <w:pPr>
        <w:ind w:left="480" w:hanging="480"/>
        <w:rPr>
          <w:rFonts w:eastAsia="Times New Roman"/>
          <w:lang w:bidi="bo-CN"/>
        </w:rPr>
      </w:pPr>
    </w:p>
    <w:p w14:paraId="64F4020D" w14:textId="1185441F" w:rsidR="0042111C" w:rsidRPr="0042111C" w:rsidRDefault="0042111C" w:rsidP="00AF4C05">
      <w:pPr>
        <w:ind w:left="480" w:hanging="480"/>
        <w:rPr>
          <w:rFonts w:eastAsia="Times New Roman"/>
          <w:lang w:bidi="bo-CN"/>
        </w:rPr>
      </w:pPr>
      <w:r w:rsidRPr="0042111C">
        <w:rPr>
          <w:rFonts w:eastAsia="Times New Roman"/>
          <w:lang w:bidi="bo-CN"/>
        </w:rPr>
        <w:t xml:space="preserve">Bstan-ʼdzin-kun-bzaṅ-luṅ-rtogs-bstan-paʼi-ñi-ma, Rdzogs-zhen Monastery (Qamdo Shi, China), and Xizang ren min chu ban she, eds. </w:t>
      </w:r>
      <w:r w:rsidRPr="0042111C">
        <w:rPr>
          <w:rFonts w:eastAsia="Times New Roman"/>
          <w:i/>
          <w:iCs/>
          <w:lang w:bidi="bo-CN"/>
        </w:rPr>
        <w:t>Bod brgyud nang bstan snga ʼgyur bkaʼ gter dkyil ʼkhor dpe ris</w:t>
      </w:r>
      <w:r w:rsidRPr="0042111C">
        <w:rPr>
          <w:rFonts w:eastAsia="Times New Roman"/>
          <w:lang w:bidi="bo-CN"/>
        </w:rPr>
        <w:t>. Par gzhi dang po bsgrigs. Snga ʼgyur Rgyal ba Rdzogs chen paʼi dpe tshogs. Lhasa: Bod-ljongs Mi-dmangs Dpe-skrun-khang, 2012.</w:t>
      </w:r>
    </w:p>
    <w:p w14:paraId="0C0BF6C5" w14:textId="77777777" w:rsidR="0042111C" w:rsidRDefault="0042111C" w:rsidP="00AF4C05">
      <w:pPr>
        <w:ind w:left="480" w:hanging="480"/>
        <w:rPr>
          <w:rFonts w:eastAsia="Times New Roman"/>
          <w:lang w:bidi="bo-CN"/>
        </w:rPr>
      </w:pPr>
    </w:p>
    <w:p w14:paraId="7FFF8CDA" w14:textId="683673F9" w:rsidR="0042111C" w:rsidRPr="0042111C" w:rsidRDefault="0042111C" w:rsidP="00AF4C05">
      <w:pPr>
        <w:ind w:left="480" w:hanging="480"/>
        <w:rPr>
          <w:rFonts w:eastAsia="Times New Roman"/>
          <w:lang w:bidi="bo-CN"/>
        </w:rPr>
      </w:pPr>
      <w:r w:rsidRPr="0042111C">
        <w:rPr>
          <w:rFonts w:eastAsia="Times New Roman"/>
          <w:lang w:bidi="bo-CN"/>
        </w:rPr>
        <w:lastRenderedPageBreak/>
        <w:t xml:space="preserve">Bu-ston Rin-chen-grub, Lisa Stein, and Ngawang Zangpo. </w:t>
      </w:r>
      <w:r w:rsidRPr="0042111C">
        <w:rPr>
          <w:rFonts w:eastAsia="Times New Roman"/>
          <w:i/>
          <w:iCs/>
          <w:lang w:bidi="bo-CN"/>
        </w:rPr>
        <w:t>Butön’s History of Buddhism in India and Its Spread to Tibet: A Treasury of Priceless Scripture</w:t>
      </w:r>
      <w:r w:rsidRPr="0042111C">
        <w:rPr>
          <w:rFonts w:eastAsia="Times New Roman"/>
          <w:lang w:bidi="bo-CN"/>
        </w:rPr>
        <w:t>. First Edition. The Tsadra Foundation Series. Boston: Snow Lion, 2013.</w:t>
      </w:r>
    </w:p>
    <w:p w14:paraId="12224F91" w14:textId="77777777" w:rsidR="0042111C" w:rsidRDefault="0042111C" w:rsidP="00AF4C05">
      <w:pPr>
        <w:ind w:left="480" w:hanging="480"/>
        <w:rPr>
          <w:rFonts w:eastAsia="Times New Roman"/>
          <w:lang w:bidi="bo-CN"/>
        </w:rPr>
      </w:pPr>
    </w:p>
    <w:p w14:paraId="09CB8920" w14:textId="420698D7" w:rsidR="0042111C" w:rsidRPr="0042111C" w:rsidRDefault="0042111C" w:rsidP="00AF4C05">
      <w:pPr>
        <w:ind w:left="480" w:hanging="480"/>
        <w:rPr>
          <w:rFonts w:eastAsia="Times New Roman"/>
          <w:lang w:bidi="bo-CN"/>
        </w:rPr>
      </w:pPr>
      <w:r w:rsidRPr="0042111C">
        <w:rPr>
          <w:rFonts w:eastAsia="Times New Roman"/>
          <w:lang w:bidi="bo-CN"/>
        </w:rPr>
        <w:t xml:space="preserve">Cabezón, José Ignacio. “Authorship and Literary Production in Classical Buddhist Tibet.” In </w:t>
      </w:r>
      <w:r w:rsidRPr="0042111C">
        <w:rPr>
          <w:rFonts w:eastAsia="Times New Roman"/>
          <w:i/>
          <w:iCs/>
          <w:lang w:bidi="bo-CN"/>
        </w:rPr>
        <w:t>Changing Minds: Contributions to the Study of Buddhism and Tibet in Honor of Jeffrey Hopkins</w:t>
      </w:r>
      <w:r w:rsidRPr="0042111C">
        <w:rPr>
          <w:rFonts w:eastAsia="Times New Roman"/>
          <w:lang w:bidi="bo-CN"/>
        </w:rPr>
        <w:t>, edited by Guy Newland, 1st ed. USA., 233–63. Ithaca, N.Y: Snow Lion Publications, 2001.</w:t>
      </w:r>
    </w:p>
    <w:p w14:paraId="605842E6" w14:textId="77777777" w:rsidR="0042111C" w:rsidRP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Buddhism and Language: A Study of Indo-Tibetan Scholasticism</w:t>
      </w:r>
      <w:r w:rsidRPr="0042111C">
        <w:rPr>
          <w:rFonts w:eastAsia="Times New Roman"/>
          <w:lang w:bidi="bo-CN"/>
        </w:rPr>
        <w:t>. SUNY Series, toward a Comparative Philosophy of Religions. Albany, N.Y: State University of New York Press, 1994.</w:t>
      </w:r>
    </w:p>
    <w:p w14:paraId="17874BAF" w14:textId="77777777" w:rsidR="0042111C" w:rsidRDefault="0042111C" w:rsidP="00AF4C05">
      <w:pPr>
        <w:ind w:left="480" w:hanging="480"/>
        <w:rPr>
          <w:rFonts w:eastAsia="Times New Roman"/>
          <w:lang w:bidi="bo-CN"/>
        </w:rPr>
      </w:pPr>
    </w:p>
    <w:p w14:paraId="350B6D30" w14:textId="3B495088" w:rsidR="0042111C" w:rsidRPr="0042111C" w:rsidRDefault="0042111C" w:rsidP="00AF4C05">
      <w:pPr>
        <w:ind w:left="480" w:hanging="480"/>
        <w:rPr>
          <w:rFonts w:eastAsia="Times New Roman"/>
          <w:lang w:bidi="bo-CN"/>
        </w:rPr>
      </w:pPr>
      <w:r w:rsidRPr="0042111C">
        <w:rPr>
          <w:rFonts w:eastAsia="Times New Roman"/>
          <w:lang w:bidi="bo-CN"/>
        </w:rPr>
        <w:t>C</w:t>
      </w:r>
      <w:r>
        <w:rPr>
          <w:rFonts w:eastAsia="Times New Roman"/>
          <w:lang w:bidi="bo-CN"/>
        </w:rPr>
        <w:t>ampany</w:t>
      </w:r>
      <w:r w:rsidRPr="0042111C">
        <w:rPr>
          <w:rFonts w:eastAsia="Times New Roman"/>
          <w:lang w:bidi="bo-CN"/>
        </w:rPr>
        <w:t xml:space="preserve">, Robert F. “Notes on the Devotional Uses and Symbolic Functions of Sūtra Texts as Depicted in Early Chinese Buddhist Miracle Tales and Hagiographies.” </w:t>
      </w:r>
      <w:r w:rsidRPr="0042111C">
        <w:rPr>
          <w:rFonts w:eastAsia="Times New Roman"/>
          <w:i/>
          <w:iCs/>
          <w:lang w:bidi="bo-CN"/>
        </w:rPr>
        <w:t>Journal of the International Association of Buddhist Studies</w:t>
      </w:r>
      <w:r w:rsidRPr="0042111C">
        <w:rPr>
          <w:rFonts w:eastAsia="Times New Roman"/>
          <w:lang w:bidi="bo-CN"/>
        </w:rPr>
        <w:t xml:space="preserve">, no. 1 (1991): 28–72. </w:t>
      </w:r>
    </w:p>
    <w:p w14:paraId="0310EC63" w14:textId="77777777" w:rsidR="0042111C" w:rsidRDefault="0042111C" w:rsidP="00AF4C05">
      <w:pPr>
        <w:ind w:left="480" w:hanging="480"/>
        <w:rPr>
          <w:rFonts w:eastAsia="Times New Roman"/>
          <w:lang w:bidi="bo-CN"/>
        </w:rPr>
      </w:pPr>
    </w:p>
    <w:p w14:paraId="1268990A" w14:textId="06A33E97" w:rsidR="0042111C" w:rsidRPr="0042111C" w:rsidRDefault="0042111C" w:rsidP="00AF4C05">
      <w:pPr>
        <w:ind w:left="480" w:hanging="480"/>
        <w:rPr>
          <w:rFonts w:eastAsia="Times New Roman"/>
          <w:lang w:bidi="bo-CN"/>
        </w:rPr>
      </w:pPr>
      <w:r w:rsidRPr="0042111C">
        <w:rPr>
          <w:rFonts w:eastAsia="Times New Roman"/>
          <w:lang w:bidi="bo-CN"/>
        </w:rPr>
        <w:t xml:space="preserve">Cantwell, Cathy. “Seeing, Touching, Holding, and Swallowing Tibetan Buddhist Texts.” </w:t>
      </w:r>
      <w:r w:rsidRPr="0042111C">
        <w:rPr>
          <w:rFonts w:eastAsia="Times New Roman"/>
          <w:i/>
          <w:iCs/>
          <w:lang w:bidi="bo-CN"/>
        </w:rPr>
        <w:t>Postscripts: The Journal of Sacred Texts, Cultural Histories, and Contemporary Contexts</w:t>
      </w:r>
      <w:r w:rsidRPr="0042111C">
        <w:rPr>
          <w:rFonts w:eastAsia="Times New Roman"/>
          <w:lang w:bidi="bo-CN"/>
        </w:rPr>
        <w:t xml:space="preserve"> 8, no. 1–2 (August 19, 2017): 137–60. </w:t>
      </w:r>
    </w:p>
    <w:p w14:paraId="308FB51D" w14:textId="77777777" w:rsidR="0042111C" w:rsidRDefault="0042111C" w:rsidP="00AF4C05">
      <w:pPr>
        <w:ind w:left="480" w:hanging="480"/>
        <w:rPr>
          <w:rFonts w:eastAsia="Times New Roman"/>
          <w:lang w:bidi="bo-CN"/>
        </w:rPr>
      </w:pPr>
    </w:p>
    <w:p w14:paraId="51C3DCDD" w14:textId="3FA4CE6B" w:rsidR="0042111C" w:rsidRPr="0042111C" w:rsidRDefault="0042111C" w:rsidP="00AF4C05">
      <w:pPr>
        <w:ind w:left="480" w:hanging="480"/>
        <w:rPr>
          <w:rFonts w:eastAsia="Times New Roman"/>
          <w:lang w:bidi="bo-CN"/>
        </w:rPr>
      </w:pPr>
      <w:r w:rsidRPr="0042111C">
        <w:rPr>
          <w:rFonts w:eastAsia="Times New Roman"/>
          <w:lang w:bidi="bo-CN"/>
        </w:rPr>
        <w:t xml:space="preserve">Cantwell, Cathy, and Robert Mayer. </w:t>
      </w:r>
      <w:r w:rsidRPr="0042111C">
        <w:rPr>
          <w:rFonts w:eastAsia="Times New Roman"/>
          <w:i/>
          <w:iCs/>
          <w:lang w:bidi="bo-CN"/>
        </w:rPr>
        <w:t>Dudjom Rinpoche’s Vajrakilaya Works: A Study in Authoring, Compiling and Editing Texts in the Tibetan Revelatory Tradition</w:t>
      </w:r>
      <w:r w:rsidRPr="0042111C">
        <w:rPr>
          <w:rFonts w:eastAsia="Times New Roman"/>
          <w:lang w:bidi="bo-CN"/>
        </w:rPr>
        <w:t>. Oxford Centre for Buddhist Studies Monographs. Bristol, CT: Equinox Publishing, 2020.</w:t>
      </w:r>
    </w:p>
    <w:p w14:paraId="42A11705" w14:textId="77777777" w:rsidR="0042111C" w:rsidRDefault="0042111C" w:rsidP="00AF4C05">
      <w:pPr>
        <w:ind w:left="480" w:hanging="480"/>
        <w:rPr>
          <w:rFonts w:eastAsia="Times New Roman"/>
          <w:lang w:bidi="bo-CN"/>
        </w:rPr>
      </w:pPr>
    </w:p>
    <w:p w14:paraId="61FCE805" w14:textId="1423F600" w:rsidR="0042111C" w:rsidRPr="0042111C" w:rsidRDefault="0042111C" w:rsidP="00AF4C05">
      <w:pPr>
        <w:ind w:left="480" w:hanging="480"/>
        <w:rPr>
          <w:rFonts w:eastAsia="Times New Roman"/>
          <w:lang w:bidi="bo-CN"/>
        </w:rPr>
      </w:pPr>
      <w:r w:rsidRPr="0042111C">
        <w:rPr>
          <w:rFonts w:eastAsia="Times New Roman"/>
          <w:lang w:bidi="bo-CN"/>
        </w:rPr>
        <w:t xml:space="preserve">Childs, Geoff. “How to Fund a Ritual: Notes on the Social Usage of the Kanjur (BKa’ ’gyur) in a Tibetan Village.” </w:t>
      </w:r>
      <w:r w:rsidRPr="0042111C">
        <w:rPr>
          <w:rFonts w:eastAsia="Times New Roman"/>
          <w:i/>
          <w:iCs/>
          <w:lang w:bidi="bo-CN"/>
        </w:rPr>
        <w:t>The Tibet Journal</w:t>
      </w:r>
      <w:r w:rsidRPr="0042111C">
        <w:rPr>
          <w:rFonts w:eastAsia="Times New Roman"/>
          <w:lang w:bidi="bo-CN"/>
        </w:rPr>
        <w:t xml:space="preserve"> 30, no. 2 (2005): 41–48.</w:t>
      </w:r>
    </w:p>
    <w:p w14:paraId="5C92F392" w14:textId="77777777" w:rsidR="0042111C" w:rsidRDefault="0042111C" w:rsidP="00AF4C05">
      <w:pPr>
        <w:ind w:left="480" w:hanging="480"/>
        <w:rPr>
          <w:rFonts w:eastAsia="Times New Roman"/>
          <w:lang w:bidi="bo-CN"/>
        </w:rPr>
      </w:pPr>
    </w:p>
    <w:p w14:paraId="3E5DEA93" w14:textId="0C9711FE" w:rsidR="0042111C" w:rsidRPr="0042111C" w:rsidRDefault="0042111C" w:rsidP="00AF4C05">
      <w:pPr>
        <w:ind w:left="480" w:hanging="480"/>
        <w:rPr>
          <w:rFonts w:eastAsia="Times New Roman"/>
          <w:lang w:bidi="bo-CN"/>
        </w:rPr>
      </w:pPr>
      <w:r w:rsidRPr="0042111C">
        <w:rPr>
          <w:rFonts w:eastAsia="Times New Roman"/>
          <w:lang w:bidi="bo-CN"/>
        </w:rPr>
        <w:t xml:space="preserve">Cort, J. E. “Art, Religion, And Material Culture: Some Reflections On Method.” </w:t>
      </w:r>
      <w:r w:rsidRPr="0042111C">
        <w:rPr>
          <w:rFonts w:eastAsia="Times New Roman"/>
          <w:i/>
          <w:iCs/>
          <w:lang w:bidi="bo-CN"/>
        </w:rPr>
        <w:t>Journal of the American Academy of Religion</w:t>
      </w:r>
      <w:r w:rsidRPr="0042111C">
        <w:rPr>
          <w:rFonts w:eastAsia="Times New Roman"/>
          <w:lang w:bidi="bo-CN"/>
        </w:rPr>
        <w:t xml:space="preserve"> LXIV, no. 3 (January 1, 1996): 613–32. </w:t>
      </w:r>
    </w:p>
    <w:p w14:paraId="1DCA1207" w14:textId="77777777" w:rsidR="0042111C" w:rsidRDefault="0042111C" w:rsidP="00AF4C05">
      <w:pPr>
        <w:ind w:left="480" w:hanging="480"/>
        <w:rPr>
          <w:rFonts w:eastAsia="Times New Roman"/>
          <w:lang w:bidi="bo-CN"/>
        </w:rPr>
      </w:pPr>
    </w:p>
    <w:p w14:paraId="33FCCC50" w14:textId="1A99EA9C" w:rsidR="0042111C" w:rsidRPr="0042111C" w:rsidRDefault="0042111C" w:rsidP="00AF4C05">
      <w:pPr>
        <w:ind w:left="480" w:hanging="480"/>
        <w:rPr>
          <w:rFonts w:eastAsia="Times New Roman"/>
          <w:lang w:bidi="bo-CN"/>
        </w:rPr>
      </w:pPr>
      <w:r w:rsidRPr="0042111C">
        <w:rPr>
          <w:rFonts w:eastAsia="Times New Roman"/>
          <w:lang w:bidi="bo-CN"/>
        </w:rPr>
        <w:t xml:space="preserve">Craig, Sienna R. </w:t>
      </w:r>
      <w:r w:rsidRPr="0042111C">
        <w:rPr>
          <w:rFonts w:eastAsia="Times New Roman"/>
          <w:i/>
          <w:iCs/>
          <w:lang w:bidi="bo-CN"/>
        </w:rPr>
        <w:t>Healing Elements: Efficacy and the Social Ecologies of Tibetan Medicine</w:t>
      </w:r>
      <w:r w:rsidRPr="0042111C">
        <w:rPr>
          <w:rFonts w:eastAsia="Times New Roman"/>
          <w:lang w:bidi="bo-CN"/>
        </w:rPr>
        <w:t>. Berkeley: University of California Press, 2012.</w:t>
      </w:r>
    </w:p>
    <w:p w14:paraId="7F133EB8" w14:textId="77777777" w:rsidR="0042111C" w:rsidRDefault="0042111C" w:rsidP="00AF4C05">
      <w:pPr>
        <w:ind w:left="480" w:hanging="480"/>
        <w:rPr>
          <w:rFonts w:eastAsia="Times New Roman"/>
          <w:lang w:bidi="bo-CN"/>
        </w:rPr>
      </w:pPr>
    </w:p>
    <w:p w14:paraId="0436FAC6" w14:textId="6C226896" w:rsidR="0042111C" w:rsidRPr="0042111C" w:rsidRDefault="0042111C" w:rsidP="00AF4C05">
      <w:pPr>
        <w:ind w:left="480" w:hanging="480"/>
        <w:rPr>
          <w:rFonts w:eastAsia="Times New Roman"/>
          <w:lang w:bidi="bo-CN"/>
        </w:rPr>
      </w:pPr>
      <w:r w:rsidRPr="0042111C">
        <w:rPr>
          <w:rFonts w:eastAsia="Times New Roman"/>
          <w:lang w:bidi="bo-CN"/>
        </w:rPr>
        <w:t xml:space="preserve">Cüppers, Christoph. “Some Remarks on Bka’ ’gyur Production in 17th-Century Tibet.” In </w:t>
      </w:r>
      <w:r w:rsidRPr="0042111C">
        <w:rPr>
          <w:rFonts w:eastAsia="Times New Roman"/>
          <w:i/>
          <w:iCs/>
          <w:lang w:bidi="bo-CN"/>
        </w:rPr>
        <w:t>Edition, Éditions: L’écrit Au Tibet, Évolution et Devenir</w:t>
      </w:r>
      <w:r w:rsidRPr="0042111C">
        <w:rPr>
          <w:rFonts w:eastAsia="Times New Roman"/>
          <w:lang w:bidi="bo-CN"/>
        </w:rPr>
        <w:t>, edited by Anne Chayet, 115–28. Collectanea Himalayica 3. München: Indus-Verl, 2010.</w:t>
      </w:r>
    </w:p>
    <w:p w14:paraId="3C71283E" w14:textId="77777777" w:rsidR="0042111C" w:rsidRDefault="0042111C" w:rsidP="00AF4C05">
      <w:pPr>
        <w:ind w:left="480" w:hanging="480"/>
        <w:rPr>
          <w:rFonts w:eastAsia="Times New Roman"/>
          <w:lang w:bidi="bo-CN"/>
        </w:rPr>
      </w:pPr>
    </w:p>
    <w:p w14:paraId="4C3F2C03" w14:textId="6457FC7C" w:rsidR="0042111C" w:rsidRPr="0042111C" w:rsidRDefault="0042111C" w:rsidP="00AF4C05">
      <w:pPr>
        <w:ind w:left="480" w:hanging="480"/>
        <w:rPr>
          <w:rFonts w:eastAsia="Times New Roman"/>
          <w:lang w:bidi="bo-CN"/>
        </w:rPr>
      </w:pPr>
      <w:r w:rsidRPr="0042111C">
        <w:rPr>
          <w:rFonts w:eastAsia="Times New Roman"/>
          <w:lang w:bidi="bo-CN"/>
        </w:rPr>
        <w:t xml:space="preserve">Cüppers, Christoph, Leonard W. J. van der Kuijp, and Ulrich Pagel, eds. </w:t>
      </w:r>
      <w:r w:rsidRPr="0042111C">
        <w:rPr>
          <w:rFonts w:eastAsia="Times New Roman"/>
          <w:i/>
          <w:iCs/>
          <w:lang w:bidi="bo-CN"/>
        </w:rPr>
        <w:t>Handbook of Tibetan Iconometry: A Guide to the Arts of the 17th Century</w:t>
      </w:r>
      <w:r w:rsidRPr="0042111C">
        <w:rPr>
          <w:rFonts w:eastAsia="Times New Roman"/>
          <w:lang w:bidi="bo-CN"/>
        </w:rPr>
        <w:t>. Brill’s Tibetan Studies Library, v. 16/4. Leiden; Boston: Brill, 2012.</w:t>
      </w:r>
    </w:p>
    <w:p w14:paraId="13B5D3C3" w14:textId="77777777" w:rsidR="0042111C" w:rsidRDefault="0042111C" w:rsidP="00AF4C05">
      <w:pPr>
        <w:ind w:left="480" w:hanging="480"/>
        <w:rPr>
          <w:rFonts w:eastAsia="Times New Roman"/>
          <w:lang w:bidi="bo-CN"/>
        </w:rPr>
      </w:pPr>
    </w:p>
    <w:p w14:paraId="2E883DC4" w14:textId="37BDECDD" w:rsidR="0042111C" w:rsidRPr="0042111C" w:rsidRDefault="0042111C" w:rsidP="00AF4C05">
      <w:pPr>
        <w:ind w:left="480" w:hanging="480"/>
        <w:rPr>
          <w:rFonts w:eastAsia="Times New Roman"/>
          <w:lang w:bidi="bo-CN"/>
        </w:rPr>
      </w:pPr>
      <w:r w:rsidRPr="0042111C">
        <w:rPr>
          <w:rFonts w:eastAsia="Times New Roman"/>
          <w:lang w:bidi="bo-CN"/>
        </w:rPr>
        <w:t xml:space="preserve">Czaja, Olaf. “The Making </w:t>
      </w:r>
      <w:r w:rsidR="0047571A">
        <w:rPr>
          <w:rFonts w:eastAsia="Times New Roman"/>
          <w:lang w:bidi="bo-CN"/>
        </w:rPr>
        <w:t>o</w:t>
      </w:r>
      <w:r w:rsidRPr="0042111C">
        <w:rPr>
          <w:rFonts w:eastAsia="Times New Roman"/>
          <w:lang w:bidi="bo-CN"/>
        </w:rPr>
        <w:t xml:space="preserve">f The Blue Beryl – Some Remarks On The Textual Sources Of The Famous Commentary Of Sangye Gyatso (1653–1705).” In </w:t>
      </w:r>
      <w:r w:rsidRPr="0042111C">
        <w:rPr>
          <w:rFonts w:eastAsia="Times New Roman"/>
          <w:i/>
          <w:iCs/>
          <w:lang w:bidi="bo-CN"/>
        </w:rPr>
        <w:t>Proceedings of the Tenth Seminar of the IATS, 2003. Volume 10: Soundings in Tibetan Medicine: Anthropological and Historical Perspectives</w:t>
      </w:r>
      <w:r w:rsidRPr="0042111C">
        <w:rPr>
          <w:rFonts w:eastAsia="Times New Roman"/>
          <w:lang w:bidi="bo-CN"/>
        </w:rPr>
        <w:t xml:space="preserve">, edited by Mona Schrempf, 345–71. BRILL, 2007. </w:t>
      </w:r>
    </w:p>
    <w:p w14:paraId="476A8A4C" w14:textId="77777777" w:rsidR="0042111C" w:rsidRDefault="0042111C" w:rsidP="00AF4C05">
      <w:pPr>
        <w:ind w:left="480" w:hanging="480"/>
        <w:rPr>
          <w:rFonts w:eastAsia="Times New Roman"/>
          <w:lang w:bidi="bo-CN"/>
        </w:rPr>
      </w:pPr>
    </w:p>
    <w:p w14:paraId="6ADC003E" w14:textId="0C349DB9" w:rsidR="0042111C" w:rsidRPr="0042111C" w:rsidRDefault="0042111C" w:rsidP="00AF4C05">
      <w:pPr>
        <w:ind w:left="480" w:hanging="480"/>
        <w:rPr>
          <w:rFonts w:eastAsia="Times New Roman"/>
          <w:lang w:bidi="bo-CN"/>
        </w:rPr>
      </w:pPr>
      <w:r w:rsidRPr="0042111C">
        <w:rPr>
          <w:rFonts w:eastAsia="Times New Roman"/>
          <w:lang w:bidi="bo-CN"/>
        </w:rPr>
        <w:lastRenderedPageBreak/>
        <w:t xml:space="preserve">Davidson, Ronald M. “Appendix:  An Introduction to the Standards of Scriptural Authenticity in Indian Buddhism.” In </w:t>
      </w:r>
      <w:r w:rsidRPr="0042111C">
        <w:rPr>
          <w:rFonts w:eastAsia="Times New Roman"/>
          <w:i/>
          <w:iCs/>
          <w:lang w:bidi="bo-CN"/>
        </w:rPr>
        <w:t>Chinese Buddhist Apocrypha</w:t>
      </w:r>
      <w:r w:rsidRPr="0042111C">
        <w:rPr>
          <w:rFonts w:eastAsia="Times New Roman"/>
          <w:lang w:bidi="bo-CN"/>
        </w:rPr>
        <w:t>, edited by Robert E. Buswell, 291–325. Honolulu: University of Hawaii Press, 1990.</w:t>
      </w:r>
    </w:p>
    <w:p w14:paraId="5D43E408" w14:textId="77777777" w:rsidR="0042111C" w:rsidRP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Tibetan Renaissance: Tantric Buddhism in the Rebirth of Tibetan Culture</w:t>
      </w:r>
      <w:r w:rsidRPr="0042111C">
        <w:rPr>
          <w:rFonts w:eastAsia="Times New Roman"/>
          <w:lang w:bidi="bo-CN"/>
        </w:rPr>
        <w:t>. New York: Columbia University Press, 2005.</w:t>
      </w:r>
    </w:p>
    <w:p w14:paraId="3E8DB8EA" w14:textId="77777777" w:rsidR="0042111C" w:rsidRDefault="0042111C" w:rsidP="00AF4C05">
      <w:pPr>
        <w:ind w:left="480" w:hanging="480"/>
        <w:rPr>
          <w:rFonts w:eastAsia="Times New Roman"/>
          <w:lang w:bidi="bo-CN"/>
        </w:rPr>
      </w:pPr>
    </w:p>
    <w:p w14:paraId="57F96EEB" w14:textId="599387F7" w:rsidR="0042111C" w:rsidRPr="0042111C" w:rsidRDefault="0042111C" w:rsidP="00AF4C05">
      <w:pPr>
        <w:ind w:left="480" w:hanging="480"/>
        <w:rPr>
          <w:rFonts w:eastAsia="Times New Roman"/>
          <w:lang w:bidi="bo-CN"/>
        </w:rPr>
      </w:pPr>
      <w:r w:rsidRPr="0042111C">
        <w:rPr>
          <w:rFonts w:eastAsia="Times New Roman"/>
          <w:lang w:bidi="bo-CN"/>
        </w:rPr>
        <w:t xml:space="preserve">Diemberger, Hildegard. “Buddhist Books on Trans-Himalayan Pathways. Materials and Technologies Connecting People and Ecological Environments in a Transnational Landscape.” In </w:t>
      </w:r>
      <w:r w:rsidRPr="0042111C">
        <w:rPr>
          <w:rFonts w:eastAsia="Times New Roman"/>
          <w:i/>
          <w:iCs/>
          <w:lang w:bidi="bo-CN"/>
        </w:rPr>
        <w:t>Trans-Himalayan Borderlands</w:t>
      </w:r>
      <w:r w:rsidRPr="0042111C">
        <w:rPr>
          <w:rFonts w:eastAsia="Times New Roman"/>
          <w:lang w:bidi="bo-CN"/>
        </w:rPr>
        <w:t xml:space="preserve">, edited by Dan Smyer Yü and Jean Michaud, 105–24. Amsterdam University Press, 2017. </w:t>
      </w:r>
    </w:p>
    <w:p w14:paraId="7C124105" w14:textId="15023154" w:rsidR="0042111C" w:rsidRPr="0042111C" w:rsidRDefault="0042111C" w:rsidP="00AF4C05">
      <w:pPr>
        <w:ind w:left="480" w:hanging="480"/>
        <w:rPr>
          <w:rFonts w:eastAsia="Times New Roman"/>
          <w:lang w:bidi="bo-CN"/>
        </w:rPr>
      </w:pPr>
      <w:r w:rsidRPr="0042111C">
        <w:rPr>
          <w:rFonts w:eastAsia="Times New Roman"/>
          <w:lang w:bidi="bo-CN"/>
        </w:rPr>
        <w:t xml:space="preserve">———. “Holy Books as Ritual Objects and Vessels of Teaching in the Era of the ‘Further Spread of the Doctrine’ (Bstan Pa Yang Dar).” In </w:t>
      </w:r>
      <w:r w:rsidRPr="0042111C">
        <w:rPr>
          <w:rFonts w:eastAsia="Times New Roman"/>
          <w:i/>
          <w:iCs/>
          <w:lang w:bidi="bo-CN"/>
        </w:rPr>
        <w:t>Revisiting Rituals in a Changing Tibetan World</w:t>
      </w:r>
      <w:r w:rsidRPr="0042111C">
        <w:rPr>
          <w:rFonts w:eastAsia="Times New Roman"/>
          <w:lang w:bidi="bo-CN"/>
        </w:rPr>
        <w:t xml:space="preserve">, edited by Katia Buffetrille, 9–41. BRILL, 2012. </w:t>
      </w:r>
    </w:p>
    <w:p w14:paraId="63555047" w14:textId="7AD9CC7E" w:rsidR="0042111C" w:rsidRDefault="0042111C" w:rsidP="00AF4C05">
      <w:pPr>
        <w:ind w:left="480" w:hanging="480"/>
        <w:rPr>
          <w:rFonts w:eastAsia="Times New Roman"/>
          <w:lang w:bidi="bo-CN"/>
        </w:rPr>
      </w:pPr>
      <w:r w:rsidRPr="0042111C">
        <w:rPr>
          <w:rFonts w:eastAsia="Times New Roman"/>
          <w:lang w:bidi="bo-CN"/>
        </w:rPr>
        <w:t xml:space="preserve">———. “The Younghusband-Waddell Collection and Its People: The Social Life of Tibetan Books Gathered in a Late-Colonial Enterprise.” </w:t>
      </w:r>
      <w:r w:rsidRPr="0042111C">
        <w:rPr>
          <w:rFonts w:eastAsia="Times New Roman"/>
          <w:i/>
          <w:iCs/>
          <w:lang w:bidi="bo-CN"/>
        </w:rPr>
        <w:t>Inner Asia</w:t>
      </w:r>
      <w:r w:rsidRPr="0042111C">
        <w:rPr>
          <w:rFonts w:eastAsia="Times New Roman"/>
          <w:lang w:bidi="bo-CN"/>
        </w:rPr>
        <w:t xml:space="preserve"> 14, no. 1 (2012): 131–71. </w:t>
      </w:r>
    </w:p>
    <w:p w14:paraId="615451FA" w14:textId="77777777" w:rsidR="0042111C" w:rsidRPr="0042111C" w:rsidRDefault="0042111C" w:rsidP="00AF4C05">
      <w:pPr>
        <w:ind w:left="480" w:hanging="480"/>
        <w:rPr>
          <w:rFonts w:eastAsia="Times New Roman"/>
          <w:lang w:bidi="bo-CN"/>
        </w:rPr>
      </w:pPr>
    </w:p>
    <w:p w14:paraId="5AF5B08C" w14:textId="245D21EB" w:rsidR="0042111C" w:rsidRDefault="0042111C" w:rsidP="00AF4C05">
      <w:pPr>
        <w:ind w:left="480" w:hanging="480"/>
        <w:rPr>
          <w:rFonts w:eastAsia="Times New Roman"/>
          <w:lang w:bidi="bo-CN"/>
        </w:rPr>
      </w:pPr>
      <w:r w:rsidRPr="0042111C">
        <w:rPr>
          <w:rFonts w:eastAsia="Times New Roman"/>
          <w:lang w:bidi="bo-CN"/>
        </w:rPr>
        <w:t xml:space="preserve">Diemberger, Hildegard, Franz-Karl Ehrhard, and Peter F. Kornicki, eds. </w:t>
      </w:r>
      <w:r w:rsidRPr="0042111C">
        <w:rPr>
          <w:rFonts w:eastAsia="Times New Roman"/>
          <w:i/>
          <w:iCs/>
          <w:lang w:bidi="bo-CN"/>
        </w:rPr>
        <w:t>Tibetan Printing: Comparisons, Continuities and Change</w:t>
      </w:r>
      <w:r w:rsidRPr="0042111C">
        <w:rPr>
          <w:rFonts w:eastAsia="Times New Roman"/>
          <w:lang w:bidi="bo-CN"/>
        </w:rPr>
        <w:t>. Brill’s Tibetan Studies Library, volume 39. Leiden; Boston: Brill, 2016.</w:t>
      </w:r>
    </w:p>
    <w:p w14:paraId="23EB000D" w14:textId="77777777" w:rsidR="0042111C" w:rsidRPr="0042111C" w:rsidRDefault="0042111C" w:rsidP="00AF4C05">
      <w:pPr>
        <w:ind w:left="480" w:hanging="480"/>
        <w:rPr>
          <w:rFonts w:eastAsia="Times New Roman"/>
          <w:lang w:bidi="bo-CN"/>
        </w:rPr>
      </w:pPr>
    </w:p>
    <w:p w14:paraId="1E82D543" w14:textId="096DB7BC" w:rsidR="0042111C" w:rsidRDefault="0042111C" w:rsidP="00AF4C05">
      <w:pPr>
        <w:ind w:left="480" w:hanging="480"/>
        <w:rPr>
          <w:rFonts w:eastAsia="Times New Roman"/>
          <w:lang w:bidi="bo-CN"/>
        </w:rPr>
      </w:pPr>
      <w:r w:rsidRPr="0042111C">
        <w:rPr>
          <w:rFonts w:eastAsia="Times New Roman"/>
          <w:lang w:bidi="bo-CN"/>
        </w:rPr>
        <w:t xml:space="preserve">Diemberger, Hildegard, Mark Elliott, Michela Clemente, and Museum of Archaeology and Anthropology, eds. </w:t>
      </w:r>
      <w:r w:rsidRPr="0042111C">
        <w:rPr>
          <w:rFonts w:eastAsia="Times New Roman"/>
          <w:i/>
          <w:iCs/>
          <w:lang w:bidi="bo-CN"/>
        </w:rPr>
        <w:t>Buddhas’s Word: The Life of Books in Tibet and beyond ; [Published to Accompany the Exhibition: Buddha’s Word: The Life of Books in Tibet and Beyond, 28 May 2014 - 17 January 2015, Museum of Archaeology and Anthropology, University of Cambridge]</w:t>
      </w:r>
      <w:r w:rsidRPr="0042111C">
        <w:rPr>
          <w:rFonts w:eastAsia="Times New Roman"/>
          <w:lang w:bidi="bo-CN"/>
        </w:rPr>
        <w:t>. Cambridge: Museum of Archaeology and Anthropology, University of Cambridge, 2014.</w:t>
      </w:r>
    </w:p>
    <w:p w14:paraId="512E65F0" w14:textId="77777777" w:rsidR="0042111C" w:rsidRPr="0042111C" w:rsidRDefault="0042111C" w:rsidP="00AF4C05">
      <w:pPr>
        <w:ind w:left="480" w:hanging="480"/>
        <w:rPr>
          <w:rFonts w:eastAsia="Times New Roman"/>
          <w:lang w:bidi="bo-CN"/>
        </w:rPr>
      </w:pPr>
    </w:p>
    <w:p w14:paraId="1C3C1C1F" w14:textId="7C097C54" w:rsidR="0042111C" w:rsidRDefault="0042111C" w:rsidP="00AF4C05">
      <w:pPr>
        <w:ind w:left="480" w:hanging="480"/>
        <w:rPr>
          <w:rFonts w:eastAsia="Times New Roman"/>
          <w:lang w:bidi="bo-CN"/>
        </w:rPr>
      </w:pPr>
      <w:r w:rsidRPr="0042111C">
        <w:rPr>
          <w:rFonts w:eastAsia="Times New Roman"/>
          <w:lang w:bidi="bo-CN"/>
        </w:rPr>
        <w:t xml:space="preserve">Diemberger, Hildegard, and Marilyn Strathern. </w:t>
      </w:r>
      <w:r w:rsidRPr="0042111C">
        <w:rPr>
          <w:rFonts w:eastAsia="Times New Roman"/>
          <w:i/>
          <w:iCs/>
          <w:lang w:bidi="bo-CN"/>
        </w:rPr>
        <w:t>When a Woman Becomes a Religious Dynasty: The Samding Dorje Phagmo of Tibet</w:t>
      </w:r>
      <w:r w:rsidRPr="0042111C">
        <w:rPr>
          <w:rFonts w:eastAsia="Times New Roman"/>
          <w:lang w:bidi="bo-CN"/>
        </w:rPr>
        <w:t>, 2014.</w:t>
      </w:r>
    </w:p>
    <w:p w14:paraId="12F3A20C" w14:textId="77777777" w:rsidR="0042111C" w:rsidRPr="0042111C" w:rsidRDefault="0042111C" w:rsidP="00AF4C05">
      <w:pPr>
        <w:ind w:left="480" w:hanging="480"/>
        <w:rPr>
          <w:rFonts w:eastAsia="Times New Roman"/>
          <w:lang w:bidi="bo-CN"/>
        </w:rPr>
      </w:pPr>
    </w:p>
    <w:p w14:paraId="490F8E41" w14:textId="279C5FD5" w:rsidR="0042111C" w:rsidRDefault="0042111C" w:rsidP="00AF4C05">
      <w:pPr>
        <w:ind w:left="480" w:hanging="480"/>
        <w:rPr>
          <w:rFonts w:eastAsia="Times New Roman"/>
          <w:lang w:bidi="bo-CN"/>
        </w:rPr>
      </w:pPr>
      <w:r w:rsidRPr="0042111C">
        <w:rPr>
          <w:rFonts w:eastAsia="Times New Roman"/>
          <w:lang w:bidi="bo-CN"/>
        </w:rPr>
        <w:t xml:space="preserve">Dkon-mchog-yan-lag, and Karl Brunnhölzl. </w:t>
      </w:r>
      <w:r w:rsidRPr="0042111C">
        <w:rPr>
          <w:rFonts w:eastAsia="Times New Roman"/>
          <w:i/>
          <w:iCs/>
          <w:lang w:bidi="bo-CN"/>
        </w:rPr>
        <w:t>Gone beyond: The Prajñāpāramitā Sūtras, the Ornament of Clear Realization, and Its Commentaries in the Tibetan Kagyü Tradition</w:t>
      </w:r>
      <w:r w:rsidRPr="0042111C">
        <w:rPr>
          <w:rFonts w:eastAsia="Times New Roman"/>
          <w:lang w:bidi="bo-CN"/>
        </w:rPr>
        <w:t>. The Tsadra Foundation Series. Ithaca, N.Y: Snow Lion Publications, 2010.</w:t>
      </w:r>
    </w:p>
    <w:p w14:paraId="35152E12" w14:textId="77777777" w:rsidR="0042111C" w:rsidRPr="0042111C" w:rsidRDefault="0042111C" w:rsidP="00AF4C05">
      <w:pPr>
        <w:ind w:left="480" w:hanging="480"/>
        <w:rPr>
          <w:rFonts w:eastAsia="Times New Roman"/>
          <w:lang w:bidi="bo-CN"/>
        </w:rPr>
      </w:pPr>
    </w:p>
    <w:p w14:paraId="74D127E8" w14:textId="0BD3ECB2" w:rsidR="0042111C" w:rsidRDefault="0042111C" w:rsidP="00AF4C05">
      <w:pPr>
        <w:ind w:left="480" w:hanging="480"/>
        <w:rPr>
          <w:rFonts w:eastAsia="Times New Roman"/>
          <w:lang w:bidi="bo-CN"/>
        </w:rPr>
      </w:pPr>
      <w:r w:rsidRPr="0042111C">
        <w:rPr>
          <w:rFonts w:eastAsia="Times New Roman"/>
          <w:lang w:bidi="bo-CN"/>
        </w:rPr>
        <w:t xml:space="preserve">Dorje, Gyurme. “The Buddhas of Medicine.” In </w:t>
      </w:r>
      <w:r w:rsidRPr="0042111C">
        <w:rPr>
          <w:rFonts w:eastAsia="Times New Roman"/>
          <w:i/>
          <w:iCs/>
          <w:lang w:bidi="bo-CN"/>
        </w:rPr>
        <w:t>Bodies in Balance: The Art of Tibetan Medicine</w:t>
      </w:r>
      <w:r w:rsidRPr="0042111C">
        <w:rPr>
          <w:rFonts w:eastAsia="Times New Roman"/>
          <w:lang w:bidi="bo-CN"/>
        </w:rPr>
        <w:t>, edited by Theresia Hofer, Barbara Gerke, and Rubin Museum of Art (New York, N.Y.), 128–53. New York: Seattle: Rubin Museum of Art; In association with University of Washington Press, 2014.</w:t>
      </w:r>
    </w:p>
    <w:p w14:paraId="5DA53D00" w14:textId="77777777" w:rsidR="0042111C" w:rsidRPr="0042111C" w:rsidRDefault="0042111C" w:rsidP="00AF4C05">
      <w:pPr>
        <w:ind w:left="480" w:hanging="480"/>
        <w:rPr>
          <w:rFonts w:eastAsia="Times New Roman"/>
          <w:lang w:bidi="bo-CN"/>
        </w:rPr>
      </w:pPr>
    </w:p>
    <w:p w14:paraId="16F4D663" w14:textId="3DBFBA80" w:rsidR="0042111C" w:rsidRDefault="0042111C" w:rsidP="00AF4C05">
      <w:pPr>
        <w:ind w:left="480" w:hanging="480"/>
        <w:rPr>
          <w:rFonts w:eastAsia="Times New Roman"/>
          <w:lang w:bidi="bo-CN"/>
        </w:rPr>
      </w:pPr>
      <w:r w:rsidRPr="0042111C">
        <w:rPr>
          <w:rFonts w:eastAsia="Times New Roman"/>
          <w:lang w:bidi="bo-CN"/>
        </w:rPr>
        <w:t xml:space="preserve">Drewes, David. “Revisiting the Phrase ‘Sa Pr̥thivīpradeśaś Caityabhūto Bhavet’ and the Mahāyāna Cult of the Book.” </w:t>
      </w:r>
      <w:r w:rsidRPr="0042111C">
        <w:rPr>
          <w:rFonts w:eastAsia="Times New Roman"/>
          <w:i/>
          <w:iCs/>
          <w:lang w:bidi="bo-CN"/>
        </w:rPr>
        <w:t>Indo-Iranian Journal</w:t>
      </w:r>
      <w:r w:rsidRPr="0042111C">
        <w:rPr>
          <w:rFonts w:eastAsia="Times New Roman"/>
          <w:lang w:bidi="bo-CN"/>
        </w:rPr>
        <w:t xml:space="preserve"> 50, no. 2 (June 2007): 101–43. </w:t>
      </w:r>
    </w:p>
    <w:p w14:paraId="7F629FCE" w14:textId="77777777" w:rsidR="0042111C" w:rsidRPr="0042111C" w:rsidRDefault="0042111C" w:rsidP="00AF4C05">
      <w:pPr>
        <w:ind w:left="480" w:hanging="480"/>
        <w:rPr>
          <w:rFonts w:eastAsia="Times New Roman"/>
          <w:lang w:bidi="bo-CN"/>
        </w:rPr>
      </w:pPr>
    </w:p>
    <w:p w14:paraId="49D1450B" w14:textId="0599A3D7" w:rsidR="0042111C" w:rsidRDefault="0042111C" w:rsidP="00AF4C05">
      <w:pPr>
        <w:ind w:left="480" w:hanging="480"/>
        <w:rPr>
          <w:rFonts w:eastAsia="Times New Roman"/>
          <w:lang w:bidi="bo-CN"/>
        </w:rPr>
      </w:pPr>
      <w:r w:rsidRPr="0042111C">
        <w:rPr>
          <w:rFonts w:eastAsia="Times New Roman"/>
          <w:lang w:bidi="bo-CN"/>
        </w:rPr>
        <w:t xml:space="preserve">Dreyfus, Georges B. J. </w:t>
      </w:r>
      <w:r w:rsidRPr="0042111C">
        <w:rPr>
          <w:rFonts w:eastAsia="Times New Roman"/>
          <w:i/>
          <w:iCs/>
          <w:lang w:bidi="bo-CN"/>
        </w:rPr>
        <w:t>The Sound of Two Hands Clapping: The Education of a Tibetan Buddhist Monk</w:t>
      </w:r>
      <w:r w:rsidRPr="0042111C">
        <w:rPr>
          <w:rFonts w:eastAsia="Times New Roman"/>
          <w:lang w:bidi="bo-CN"/>
        </w:rPr>
        <w:t>. Berkeley, Calif: University of California Press, 2003.</w:t>
      </w:r>
    </w:p>
    <w:p w14:paraId="722F2846" w14:textId="77777777" w:rsidR="0042111C" w:rsidRPr="0042111C" w:rsidRDefault="0042111C" w:rsidP="00AF4C05">
      <w:pPr>
        <w:ind w:left="480" w:hanging="480"/>
        <w:rPr>
          <w:rFonts w:eastAsia="Times New Roman"/>
          <w:lang w:bidi="bo-CN"/>
        </w:rPr>
      </w:pPr>
    </w:p>
    <w:p w14:paraId="7C528FDC" w14:textId="1628F5FA" w:rsidR="0042111C" w:rsidRDefault="0042111C" w:rsidP="00AF4C05">
      <w:pPr>
        <w:ind w:left="480" w:hanging="480"/>
        <w:rPr>
          <w:rFonts w:eastAsia="Times New Roman"/>
          <w:lang w:bidi="bo-CN"/>
        </w:rPr>
      </w:pPr>
      <w:r w:rsidRPr="0042111C">
        <w:rPr>
          <w:rFonts w:eastAsia="Times New Roman"/>
          <w:lang w:bidi="bo-CN"/>
        </w:rPr>
        <w:lastRenderedPageBreak/>
        <w:t xml:space="preserve">Duckworth, Douglas S. </w:t>
      </w:r>
      <w:r w:rsidRPr="0042111C">
        <w:rPr>
          <w:rFonts w:eastAsia="Times New Roman"/>
          <w:i/>
          <w:iCs/>
          <w:lang w:bidi="bo-CN"/>
        </w:rPr>
        <w:t>Tibetan Buddhist Philosophy of Mind and Nature</w:t>
      </w:r>
      <w:r w:rsidRPr="0042111C">
        <w:rPr>
          <w:rFonts w:eastAsia="Times New Roman"/>
          <w:lang w:bidi="bo-CN"/>
        </w:rPr>
        <w:t>. New York, NY: Oxford University Press, 2019.</w:t>
      </w:r>
    </w:p>
    <w:p w14:paraId="3C7124B4" w14:textId="77777777" w:rsidR="0042111C" w:rsidRPr="0042111C" w:rsidRDefault="0042111C" w:rsidP="00AF4C05">
      <w:pPr>
        <w:ind w:left="480" w:hanging="480"/>
        <w:rPr>
          <w:rFonts w:eastAsia="Times New Roman"/>
          <w:lang w:bidi="bo-CN"/>
        </w:rPr>
      </w:pPr>
    </w:p>
    <w:p w14:paraId="0665D519" w14:textId="5B99DFA9" w:rsidR="0042111C" w:rsidRDefault="0042111C" w:rsidP="00AF4C05">
      <w:pPr>
        <w:ind w:left="480" w:hanging="480"/>
        <w:rPr>
          <w:rFonts w:eastAsia="Times New Roman"/>
          <w:lang w:bidi="bo-CN"/>
        </w:rPr>
      </w:pPr>
      <w:r w:rsidRPr="0042111C">
        <w:rPr>
          <w:rFonts w:eastAsia="Times New Roman"/>
          <w:lang w:bidi="bo-CN"/>
        </w:rPr>
        <w:t xml:space="preserve">Eubanks, Charlotte D. </w:t>
      </w:r>
      <w:r w:rsidRPr="0042111C">
        <w:rPr>
          <w:rFonts w:eastAsia="Times New Roman"/>
          <w:i/>
          <w:iCs/>
          <w:lang w:bidi="bo-CN"/>
        </w:rPr>
        <w:t>Miracles of Book and Body: Buddhist Textual Culture and Medieval Japan</w:t>
      </w:r>
      <w:r w:rsidRPr="0042111C">
        <w:rPr>
          <w:rFonts w:eastAsia="Times New Roman"/>
          <w:lang w:bidi="bo-CN"/>
        </w:rPr>
        <w:t>. Buddhisms 10. Berkeley: University of California Press, 2011.</w:t>
      </w:r>
    </w:p>
    <w:p w14:paraId="3926412B" w14:textId="77777777" w:rsidR="0042111C" w:rsidRPr="0042111C" w:rsidRDefault="0042111C" w:rsidP="00AF4C05">
      <w:pPr>
        <w:ind w:left="480" w:hanging="480"/>
        <w:rPr>
          <w:rFonts w:eastAsia="Times New Roman"/>
          <w:lang w:bidi="bo-CN"/>
        </w:rPr>
      </w:pPr>
    </w:p>
    <w:p w14:paraId="695A3345" w14:textId="77777777" w:rsidR="0042111C" w:rsidRDefault="0042111C" w:rsidP="00AF4C05">
      <w:pPr>
        <w:ind w:left="480" w:hanging="480"/>
        <w:rPr>
          <w:rFonts w:eastAsia="Times New Roman"/>
          <w:lang w:bidi="bo-CN"/>
        </w:rPr>
      </w:pPr>
      <w:r w:rsidRPr="0042111C">
        <w:rPr>
          <w:rFonts w:eastAsia="Times New Roman"/>
          <w:lang w:bidi="bo-CN"/>
        </w:rPr>
        <w:t xml:space="preserve">Gamble, Christopher N., Joshua S. Hanan, and Thomas Nail. “WHAT IS NEW MATERIALISM?” </w:t>
      </w:r>
      <w:r w:rsidRPr="0042111C">
        <w:rPr>
          <w:rFonts w:eastAsia="Times New Roman"/>
          <w:i/>
          <w:iCs/>
          <w:lang w:bidi="bo-CN"/>
        </w:rPr>
        <w:t>Angelaki</w:t>
      </w:r>
      <w:r w:rsidRPr="0042111C">
        <w:rPr>
          <w:rFonts w:eastAsia="Times New Roman"/>
          <w:lang w:bidi="bo-CN"/>
        </w:rPr>
        <w:t xml:space="preserve"> 24, no. 6 (November 2, 2019): 111–34. </w:t>
      </w:r>
    </w:p>
    <w:p w14:paraId="44EABB55" w14:textId="77777777" w:rsidR="0042111C" w:rsidRDefault="0042111C" w:rsidP="00AF4C05">
      <w:pPr>
        <w:ind w:left="480" w:hanging="480"/>
        <w:rPr>
          <w:rFonts w:eastAsia="Times New Roman"/>
          <w:lang w:bidi="bo-CN"/>
        </w:rPr>
      </w:pPr>
    </w:p>
    <w:p w14:paraId="02760D05" w14:textId="7C217528" w:rsidR="0042111C" w:rsidRDefault="0042111C" w:rsidP="00AF4C05">
      <w:pPr>
        <w:ind w:left="480" w:hanging="480"/>
        <w:rPr>
          <w:rFonts w:eastAsia="Times New Roman"/>
          <w:lang w:bidi="bo-CN"/>
        </w:rPr>
      </w:pPr>
      <w:r w:rsidRPr="0042111C">
        <w:rPr>
          <w:rFonts w:eastAsia="Times New Roman"/>
          <w:lang w:bidi="bo-CN"/>
        </w:rPr>
        <w:t xml:space="preserve">Gamble, Ruth. </w:t>
      </w:r>
      <w:r w:rsidRPr="0042111C">
        <w:rPr>
          <w:rFonts w:eastAsia="Times New Roman"/>
          <w:i/>
          <w:iCs/>
          <w:lang w:bidi="bo-CN"/>
        </w:rPr>
        <w:t>Reincarnation in Tibetan Buddhism: The Third Karmapa and the Invention of a Tradition</w:t>
      </w:r>
      <w:r w:rsidRPr="0042111C">
        <w:rPr>
          <w:rFonts w:eastAsia="Times New Roman"/>
          <w:lang w:bidi="bo-CN"/>
        </w:rPr>
        <w:t>. New York, NY: Oxford University Press, 2018.</w:t>
      </w:r>
    </w:p>
    <w:p w14:paraId="2A987219" w14:textId="77777777" w:rsidR="0042111C" w:rsidRPr="0042111C" w:rsidRDefault="0042111C" w:rsidP="00AF4C05">
      <w:pPr>
        <w:ind w:left="480" w:hanging="480"/>
        <w:rPr>
          <w:rFonts w:eastAsia="Times New Roman"/>
          <w:lang w:bidi="bo-CN"/>
        </w:rPr>
      </w:pPr>
    </w:p>
    <w:p w14:paraId="7CEBFF41" w14:textId="5C2C1399" w:rsidR="0042111C" w:rsidRPr="0042111C" w:rsidRDefault="0042111C" w:rsidP="00AF4C05">
      <w:pPr>
        <w:ind w:left="480" w:hanging="480"/>
        <w:rPr>
          <w:rFonts w:eastAsia="Times New Roman"/>
          <w:lang w:bidi="bo-CN"/>
        </w:rPr>
      </w:pPr>
      <w:r w:rsidRPr="0042111C">
        <w:rPr>
          <w:rFonts w:eastAsia="Times New Roman"/>
          <w:lang w:bidi="bo-CN"/>
        </w:rPr>
        <w:t xml:space="preserve">Garrett, Frances. “Buddhism and the Historicising of Medicine in Thirteenth-Century Tibet.” </w:t>
      </w:r>
      <w:r w:rsidRPr="0042111C">
        <w:rPr>
          <w:rFonts w:eastAsia="Times New Roman"/>
          <w:i/>
          <w:iCs/>
          <w:lang w:bidi="bo-CN"/>
        </w:rPr>
        <w:t>Asian Medicine</w:t>
      </w:r>
      <w:r w:rsidRPr="0042111C">
        <w:rPr>
          <w:rFonts w:eastAsia="Times New Roman"/>
          <w:lang w:bidi="bo-CN"/>
        </w:rPr>
        <w:t xml:space="preserve"> 2, no. 2 (July 16, 2006): 204–24. </w:t>
      </w:r>
    </w:p>
    <w:p w14:paraId="02B63131" w14:textId="77777777" w:rsidR="0047571A" w:rsidRDefault="0042111C" w:rsidP="00AF4C05">
      <w:pPr>
        <w:ind w:left="480" w:hanging="480"/>
        <w:rPr>
          <w:rFonts w:eastAsia="Times New Roman"/>
          <w:lang w:bidi="bo-CN"/>
        </w:rPr>
      </w:pPr>
      <w:r w:rsidRPr="0042111C">
        <w:rPr>
          <w:rFonts w:eastAsia="Times New Roman"/>
          <w:lang w:bidi="bo-CN"/>
        </w:rPr>
        <w:t xml:space="preserve">———. “Critical Methods in Tibetan Medical Histories.” </w:t>
      </w:r>
      <w:r w:rsidRPr="0042111C">
        <w:rPr>
          <w:rFonts w:eastAsia="Times New Roman"/>
          <w:i/>
          <w:iCs/>
          <w:lang w:bidi="bo-CN"/>
        </w:rPr>
        <w:t>The Journal of Asian Studies</w:t>
      </w:r>
      <w:r w:rsidRPr="0042111C">
        <w:rPr>
          <w:rFonts w:eastAsia="Times New Roman"/>
          <w:lang w:bidi="bo-CN"/>
        </w:rPr>
        <w:t xml:space="preserve"> 66, no. 2 (May 2007): 363–87. </w:t>
      </w:r>
    </w:p>
    <w:p w14:paraId="7352397F" w14:textId="5CBE119A" w:rsidR="0042111C" w:rsidRDefault="0042111C" w:rsidP="00AF4C05">
      <w:pPr>
        <w:ind w:left="480" w:hanging="480"/>
        <w:rPr>
          <w:rFonts w:eastAsia="Times New Roman"/>
          <w:lang w:bidi="bo-CN"/>
        </w:rPr>
      </w:pPr>
      <w:r w:rsidRPr="0042111C">
        <w:rPr>
          <w:rFonts w:eastAsia="Times New Roman"/>
          <w:lang w:bidi="bo-CN"/>
        </w:rPr>
        <w:t xml:space="preserve">———. “Eating Letters in the Tibetan Treasure Tradition.” </w:t>
      </w:r>
      <w:r w:rsidRPr="0042111C">
        <w:rPr>
          <w:rFonts w:eastAsia="Times New Roman"/>
          <w:i/>
          <w:iCs/>
          <w:lang w:bidi="bo-CN"/>
        </w:rPr>
        <w:t>Journal of the International Association of Buddhist Studies</w:t>
      </w:r>
      <w:r w:rsidRPr="0042111C">
        <w:rPr>
          <w:rFonts w:eastAsia="Times New Roman"/>
          <w:lang w:bidi="bo-CN"/>
        </w:rPr>
        <w:t xml:space="preserve"> 32, no. 1–2 (n.d.): 85–114.</w:t>
      </w:r>
    </w:p>
    <w:p w14:paraId="13072EF4" w14:textId="77777777" w:rsidR="0042111C" w:rsidRPr="0042111C" w:rsidRDefault="0042111C" w:rsidP="00AF4C05">
      <w:pPr>
        <w:ind w:left="480" w:hanging="480"/>
        <w:rPr>
          <w:rFonts w:eastAsia="Times New Roman"/>
          <w:lang w:bidi="bo-CN"/>
        </w:rPr>
      </w:pPr>
    </w:p>
    <w:p w14:paraId="3474B027" w14:textId="15A0F506" w:rsidR="0042111C" w:rsidRDefault="0042111C" w:rsidP="00AF4C05">
      <w:pPr>
        <w:ind w:left="480" w:hanging="480"/>
        <w:rPr>
          <w:rFonts w:eastAsia="Times New Roman"/>
          <w:lang w:bidi="bo-CN"/>
        </w:rPr>
      </w:pPr>
      <w:r w:rsidRPr="0042111C">
        <w:rPr>
          <w:rFonts w:eastAsia="Times New Roman"/>
          <w:lang w:bidi="bo-CN"/>
        </w:rPr>
        <w:t xml:space="preserve">Garrett, Frances Mary. </w:t>
      </w:r>
      <w:r w:rsidRPr="0042111C">
        <w:rPr>
          <w:rFonts w:eastAsia="Times New Roman"/>
          <w:i/>
          <w:iCs/>
          <w:lang w:bidi="bo-CN"/>
        </w:rPr>
        <w:t>Religion, Medicine and the Human Embryo in Tibet</w:t>
      </w:r>
      <w:r w:rsidRPr="0042111C">
        <w:rPr>
          <w:rFonts w:eastAsia="Times New Roman"/>
          <w:lang w:bidi="bo-CN"/>
        </w:rPr>
        <w:t>, 2015.</w:t>
      </w:r>
    </w:p>
    <w:p w14:paraId="5AE4AB5D" w14:textId="77777777" w:rsidR="0042111C" w:rsidRPr="0042111C" w:rsidRDefault="0042111C" w:rsidP="00AF4C05">
      <w:pPr>
        <w:ind w:left="480" w:hanging="480"/>
        <w:rPr>
          <w:rFonts w:eastAsia="Times New Roman"/>
          <w:lang w:bidi="bo-CN"/>
        </w:rPr>
      </w:pPr>
    </w:p>
    <w:p w14:paraId="7B969B1C" w14:textId="342E4066" w:rsidR="0042111C" w:rsidRDefault="0042111C" w:rsidP="00AF4C05">
      <w:pPr>
        <w:ind w:left="480" w:hanging="480"/>
        <w:rPr>
          <w:rFonts w:eastAsia="Times New Roman"/>
          <w:lang w:bidi="bo-CN"/>
        </w:rPr>
      </w:pPr>
      <w:r w:rsidRPr="0042111C">
        <w:rPr>
          <w:rFonts w:eastAsia="Times New Roman"/>
          <w:lang w:bidi="bo-CN"/>
        </w:rPr>
        <w:t xml:space="preserve">Gell, Alfred. </w:t>
      </w:r>
      <w:r w:rsidRPr="0042111C">
        <w:rPr>
          <w:rFonts w:eastAsia="Times New Roman"/>
          <w:i/>
          <w:iCs/>
          <w:lang w:bidi="bo-CN"/>
        </w:rPr>
        <w:t>Art and Agency: An Anthropological Theory</w:t>
      </w:r>
      <w:r w:rsidRPr="0042111C">
        <w:rPr>
          <w:rFonts w:eastAsia="Times New Roman"/>
          <w:lang w:bidi="bo-CN"/>
        </w:rPr>
        <w:t>. Oxford; New York: Clarendon Press, 1998.</w:t>
      </w:r>
    </w:p>
    <w:p w14:paraId="6D695E19" w14:textId="77777777" w:rsidR="0042111C" w:rsidRPr="0042111C" w:rsidRDefault="0042111C" w:rsidP="00AF4C05">
      <w:pPr>
        <w:ind w:left="480" w:hanging="480"/>
        <w:rPr>
          <w:rFonts w:eastAsia="Times New Roman"/>
          <w:lang w:bidi="bo-CN"/>
        </w:rPr>
      </w:pPr>
    </w:p>
    <w:p w14:paraId="5BC9844C" w14:textId="7E4BC523" w:rsidR="0042111C" w:rsidRDefault="0042111C" w:rsidP="00AF4C05">
      <w:pPr>
        <w:ind w:left="480" w:hanging="480"/>
        <w:rPr>
          <w:rFonts w:eastAsia="Times New Roman"/>
          <w:lang w:bidi="bo-CN"/>
        </w:rPr>
      </w:pPr>
      <w:r w:rsidRPr="0042111C">
        <w:rPr>
          <w:rFonts w:eastAsia="Times New Roman"/>
          <w:lang w:bidi="bo-CN"/>
        </w:rPr>
        <w:t xml:space="preserve">Gellner, David. “'The Perfection of Wisdom’: A Text and Its Uses in Kwa Baha, Lalitpur.” In </w:t>
      </w:r>
      <w:r w:rsidRPr="0042111C">
        <w:rPr>
          <w:rFonts w:eastAsia="Times New Roman"/>
          <w:i/>
          <w:iCs/>
          <w:lang w:bidi="bo-CN"/>
        </w:rPr>
        <w:t>Change and Continuity: Studies in the Nepalese Culture of the Kathmandu Valley</w:t>
      </w:r>
      <w:r w:rsidRPr="0042111C">
        <w:rPr>
          <w:rFonts w:eastAsia="Times New Roman"/>
          <w:lang w:bidi="bo-CN"/>
        </w:rPr>
        <w:t>, edited by Siegfried Lienhard, 223–40. Orientalia / CESMEO 7. Alessandria: Edizioni dell’Orso, 1996.</w:t>
      </w:r>
    </w:p>
    <w:p w14:paraId="3BD6CAD3" w14:textId="77777777" w:rsidR="0042111C" w:rsidRPr="0042111C" w:rsidRDefault="0042111C" w:rsidP="00AF4C05">
      <w:pPr>
        <w:ind w:left="480" w:hanging="480"/>
        <w:rPr>
          <w:rFonts w:eastAsia="Times New Roman"/>
          <w:lang w:bidi="bo-CN"/>
        </w:rPr>
      </w:pPr>
    </w:p>
    <w:p w14:paraId="5CE52CA7" w14:textId="35CBD7C3" w:rsidR="0042111C" w:rsidRDefault="0042111C" w:rsidP="00AF4C05">
      <w:pPr>
        <w:ind w:left="480" w:hanging="480"/>
        <w:rPr>
          <w:rFonts w:eastAsia="Times New Roman"/>
          <w:lang w:bidi="bo-CN"/>
        </w:rPr>
      </w:pPr>
      <w:r w:rsidRPr="0042111C">
        <w:rPr>
          <w:rFonts w:eastAsia="Times New Roman"/>
          <w:lang w:bidi="bo-CN"/>
        </w:rPr>
        <w:t xml:space="preserve">Gentry, James Duncan. </w:t>
      </w:r>
      <w:r w:rsidRPr="0042111C">
        <w:rPr>
          <w:rFonts w:eastAsia="Times New Roman"/>
          <w:i/>
          <w:iCs/>
          <w:lang w:bidi="bo-CN"/>
        </w:rPr>
        <w:t>Power Objects in Tibetan Buddhism: The Life, Writings, and Legacy of Sokdokpa Lodrö Gyeltsen</w:t>
      </w:r>
      <w:r w:rsidRPr="0042111C">
        <w:rPr>
          <w:rFonts w:eastAsia="Times New Roman"/>
          <w:lang w:bidi="bo-CN"/>
        </w:rPr>
        <w:t>. Brill’s Tibetan Studies Library, volume 40. Leiden; Boston: Brill, 2017.</w:t>
      </w:r>
    </w:p>
    <w:p w14:paraId="55A20AB1" w14:textId="77777777" w:rsidR="0042111C" w:rsidRPr="0042111C" w:rsidRDefault="0042111C" w:rsidP="00AF4C05">
      <w:pPr>
        <w:ind w:left="480" w:hanging="480"/>
        <w:rPr>
          <w:rFonts w:eastAsia="Times New Roman"/>
          <w:lang w:bidi="bo-CN"/>
        </w:rPr>
      </w:pPr>
    </w:p>
    <w:p w14:paraId="5D01B0F3" w14:textId="77777777" w:rsidR="0042111C" w:rsidRDefault="0042111C" w:rsidP="00AF4C05">
      <w:pPr>
        <w:ind w:left="480" w:hanging="480"/>
        <w:rPr>
          <w:rFonts w:eastAsia="Times New Roman"/>
          <w:lang w:bidi="bo-CN"/>
        </w:rPr>
      </w:pPr>
      <w:r w:rsidRPr="0042111C">
        <w:rPr>
          <w:rFonts w:eastAsia="Times New Roman"/>
          <w:lang w:bidi="bo-CN"/>
        </w:rPr>
        <w:t xml:space="preserve">Germano, David. “Re-Membering the Dismembered Body of Tibet: Contemporary Tibetan Visionary Movements in the People’s Republic of China.” In </w:t>
      </w:r>
      <w:r w:rsidRPr="0042111C">
        <w:rPr>
          <w:rFonts w:eastAsia="Times New Roman"/>
          <w:i/>
          <w:iCs/>
          <w:lang w:bidi="bo-CN"/>
        </w:rPr>
        <w:t>Buddhism in Contemporary Tibet</w:t>
      </w:r>
      <w:r w:rsidRPr="0042111C">
        <w:rPr>
          <w:rFonts w:eastAsia="Times New Roman"/>
          <w:lang w:bidi="bo-CN"/>
        </w:rPr>
        <w:t>, edited by Melvyn C. Goldstein and Mathew T. Kapstein, 53–94. University of California Press, 1998.</w:t>
      </w:r>
    </w:p>
    <w:p w14:paraId="5EEEE2B9" w14:textId="24EE3D8F" w:rsidR="0042111C" w:rsidRPr="0042111C" w:rsidRDefault="0042111C" w:rsidP="00AF4C05">
      <w:pPr>
        <w:ind w:left="480" w:hanging="480"/>
        <w:rPr>
          <w:rFonts w:eastAsia="Times New Roman"/>
          <w:lang w:bidi="bo-CN"/>
        </w:rPr>
      </w:pPr>
      <w:r w:rsidRPr="0042111C">
        <w:rPr>
          <w:rFonts w:eastAsia="Times New Roman"/>
          <w:lang w:bidi="bo-CN"/>
        </w:rPr>
        <w:t xml:space="preserve"> </w:t>
      </w:r>
    </w:p>
    <w:p w14:paraId="705FBCA6" w14:textId="2289DC06" w:rsidR="0042111C" w:rsidRPr="0042111C" w:rsidRDefault="0042111C" w:rsidP="00AF4C05">
      <w:pPr>
        <w:ind w:left="480" w:hanging="480"/>
        <w:rPr>
          <w:rFonts w:eastAsia="Times New Roman"/>
          <w:lang w:bidi="bo-CN"/>
        </w:rPr>
      </w:pPr>
      <w:r w:rsidRPr="0042111C">
        <w:rPr>
          <w:rFonts w:eastAsia="Times New Roman"/>
          <w:lang w:bidi="bo-CN"/>
        </w:rPr>
        <w:t xml:space="preserve">Gyatso, Janet. </w:t>
      </w:r>
      <w:r w:rsidRPr="0042111C">
        <w:rPr>
          <w:rFonts w:eastAsia="Times New Roman"/>
          <w:i/>
          <w:iCs/>
          <w:lang w:bidi="bo-CN"/>
        </w:rPr>
        <w:t>Being Human in a Buddhist World: An Intellectual History of Medicine in Early Modern Tibet</w:t>
      </w:r>
      <w:r w:rsidRPr="0042111C">
        <w:rPr>
          <w:rFonts w:eastAsia="Times New Roman"/>
          <w:lang w:bidi="bo-CN"/>
        </w:rPr>
        <w:t>. New York: Columbia University Press, 2015.</w:t>
      </w:r>
    </w:p>
    <w:p w14:paraId="07FDFDDF" w14:textId="43AEEDD5" w:rsidR="0042111C" w:rsidRDefault="0042111C" w:rsidP="00AF4C05">
      <w:pPr>
        <w:ind w:left="480" w:hanging="480"/>
        <w:rPr>
          <w:rFonts w:eastAsia="Times New Roman"/>
          <w:lang w:bidi="bo-CN"/>
        </w:rPr>
      </w:pPr>
      <w:r w:rsidRPr="0042111C">
        <w:rPr>
          <w:rFonts w:eastAsia="Times New Roman"/>
          <w:lang w:bidi="bo-CN"/>
        </w:rPr>
        <w:t xml:space="preserve">———. “Looking for Gender in the Medical Paintings of Desi Sangye Gyatso, Regent of the Tibetan Buddhist State.” </w:t>
      </w:r>
      <w:r w:rsidRPr="0042111C">
        <w:rPr>
          <w:rFonts w:eastAsia="Times New Roman"/>
          <w:i/>
          <w:iCs/>
          <w:lang w:bidi="bo-CN"/>
        </w:rPr>
        <w:t>Asian Medicine</w:t>
      </w:r>
      <w:r w:rsidRPr="0042111C">
        <w:rPr>
          <w:rFonts w:eastAsia="Times New Roman"/>
          <w:lang w:bidi="bo-CN"/>
        </w:rPr>
        <w:t xml:space="preserve"> 6, no. 2 (September 15, 2012): 217–92. </w:t>
      </w:r>
    </w:p>
    <w:p w14:paraId="390220D2" w14:textId="77777777" w:rsidR="00242967" w:rsidRDefault="00242967" w:rsidP="00242967">
      <w:pPr>
        <w:rPr>
          <w:rFonts w:eastAsia="Times New Roman"/>
          <w:lang w:bidi="bo-CN"/>
        </w:rPr>
      </w:pPr>
    </w:p>
    <w:p w14:paraId="0448D590" w14:textId="53C144A7" w:rsidR="00242967" w:rsidRDefault="00242967" w:rsidP="00242967">
      <w:pPr>
        <w:ind w:left="480" w:hanging="480"/>
        <w:rPr>
          <w:rFonts w:eastAsia="Times New Roman"/>
          <w:lang w:bidi="bo-CN"/>
        </w:rPr>
      </w:pPr>
      <w:r>
        <w:rPr>
          <w:rFonts w:eastAsia="Times New Roman"/>
          <w:lang w:bidi="bo-CN"/>
        </w:rPr>
        <w:t xml:space="preserve">HAR. “Himalayan Art Resources.” Accessed June 8, 2022. </w:t>
      </w:r>
      <w:hyperlink r:id="rId10" w:history="1">
        <w:r w:rsidRPr="00D07807">
          <w:rPr>
            <w:rStyle w:val="Hyperlink"/>
            <w:rFonts w:eastAsia="Times New Roman"/>
            <w:lang w:bidi="bo-CN"/>
          </w:rPr>
          <w:t>https://www.himalayanart.org/items/146</w:t>
        </w:r>
      </w:hyperlink>
      <w:r>
        <w:rPr>
          <w:rFonts w:eastAsia="Times New Roman"/>
          <w:lang w:bidi="bo-CN"/>
        </w:rPr>
        <w:t>.</w:t>
      </w:r>
    </w:p>
    <w:p w14:paraId="36011AF8" w14:textId="3355F947" w:rsidR="0042111C" w:rsidRDefault="0042111C" w:rsidP="00242967">
      <w:pPr>
        <w:ind w:left="480" w:hanging="480"/>
        <w:rPr>
          <w:rFonts w:eastAsia="Times New Roman"/>
          <w:lang w:bidi="bo-CN"/>
        </w:rPr>
      </w:pPr>
      <w:r w:rsidRPr="0042111C">
        <w:rPr>
          <w:rFonts w:eastAsia="Times New Roman"/>
          <w:lang w:bidi="bo-CN"/>
        </w:rPr>
        <w:lastRenderedPageBreak/>
        <w:t xml:space="preserve">Hartman, Jens-Uwe. “From Words to Books: Indian Buddhist Manuscripts in the First Millennium CE.” In </w:t>
      </w:r>
      <w:r w:rsidRPr="0042111C">
        <w:rPr>
          <w:rFonts w:eastAsia="Times New Roman"/>
          <w:i/>
          <w:iCs/>
          <w:lang w:bidi="bo-CN"/>
        </w:rPr>
        <w:t>Buddhist Manuscript Cultures: Knowledge, Ritual, and Art</w:t>
      </w:r>
      <w:r w:rsidRPr="0042111C">
        <w:rPr>
          <w:rFonts w:eastAsia="Times New Roman"/>
          <w:lang w:bidi="bo-CN"/>
        </w:rPr>
        <w:t>, edited by Stephen C. Berkwitz, Juliane Schober, and Claudia Brown, 95–105. Routledge Critical Studies in Buddhism 52. London; New York: Routledge, 2009.</w:t>
      </w:r>
    </w:p>
    <w:p w14:paraId="38DF7296" w14:textId="77777777" w:rsidR="0042111C" w:rsidRPr="0042111C" w:rsidRDefault="0042111C" w:rsidP="00AF4C05">
      <w:pPr>
        <w:ind w:left="480" w:hanging="480"/>
        <w:rPr>
          <w:rFonts w:eastAsia="Times New Roman"/>
          <w:lang w:bidi="bo-CN"/>
        </w:rPr>
      </w:pPr>
    </w:p>
    <w:p w14:paraId="63747675" w14:textId="4225ACF8" w:rsidR="0042111C" w:rsidRDefault="0042111C" w:rsidP="00AF4C05">
      <w:pPr>
        <w:ind w:left="480" w:hanging="480"/>
        <w:rPr>
          <w:rFonts w:eastAsia="Times New Roman"/>
          <w:lang w:bidi="bo-CN"/>
        </w:rPr>
      </w:pPr>
      <w:r w:rsidRPr="0042111C">
        <w:rPr>
          <w:rFonts w:eastAsia="Times New Roman"/>
          <w:lang w:bidi="bo-CN"/>
        </w:rPr>
        <w:t xml:space="preserve">Hatchell, Christopher. </w:t>
      </w:r>
      <w:r w:rsidRPr="0042111C">
        <w:rPr>
          <w:rFonts w:eastAsia="Times New Roman"/>
          <w:i/>
          <w:iCs/>
          <w:lang w:bidi="bo-CN"/>
        </w:rPr>
        <w:t>Naked Seeing: The Great Perfection, The Wheel of Time, and Visionary Buddhism in Renaissance Tibet</w:t>
      </w:r>
      <w:r w:rsidRPr="0042111C">
        <w:rPr>
          <w:rFonts w:eastAsia="Times New Roman"/>
          <w:lang w:bidi="bo-CN"/>
        </w:rPr>
        <w:t>. Oxford; New York: Oxford University Press, 2014.</w:t>
      </w:r>
    </w:p>
    <w:p w14:paraId="5E24C10A" w14:textId="77777777" w:rsidR="0042111C" w:rsidRPr="0042111C" w:rsidRDefault="0042111C" w:rsidP="00AF4C05">
      <w:pPr>
        <w:ind w:left="480" w:hanging="480"/>
        <w:rPr>
          <w:rFonts w:eastAsia="Times New Roman"/>
          <w:lang w:bidi="bo-CN"/>
        </w:rPr>
      </w:pPr>
    </w:p>
    <w:p w14:paraId="05F14298" w14:textId="1C935541" w:rsidR="0042111C" w:rsidRDefault="0042111C" w:rsidP="00AF4C05">
      <w:pPr>
        <w:ind w:left="480" w:hanging="480"/>
        <w:rPr>
          <w:rFonts w:eastAsia="Times New Roman"/>
          <w:lang w:bidi="bo-CN"/>
        </w:rPr>
      </w:pPr>
      <w:r w:rsidRPr="0042111C">
        <w:rPr>
          <w:rFonts w:eastAsia="Times New Roman"/>
          <w:lang w:bidi="bo-CN"/>
        </w:rPr>
        <w:t xml:space="preserve">Heller, Amy. “A 15th Century Thangka of Bhaiṣajyaguru: Reflections on the Historical Significance of the Medicine Buddha Cycles in Mural Paintings of Western Tibet.” Application/pdf, 2012. </w:t>
      </w:r>
    </w:p>
    <w:p w14:paraId="5B3A51F0" w14:textId="77777777" w:rsidR="0042111C" w:rsidRPr="0042111C" w:rsidRDefault="0042111C" w:rsidP="00AF4C05">
      <w:pPr>
        <w:ind w:left="480" w:hanging="480"/>
        <w:rPr>
          <w:rFonts w:eastAsia="Times New Roman"/>
          <w:lang w:bidi="bo-CN"/>
        </w:rPr>
      </w:pPr>
    </w:p>
    <w:p w14:paraId="13947DC4" w14:textId="5A41D1F6" w:rsidR="0042111C" w:rsidRDefault="0042111C" w:rsidP="00AF4C05">
      <w:pPr>
        <w:ind w:left="480" w:hanging="480"/>
        <w:rPr>
          <w:rFonts w:eastAsia="Times New Roman"/>
          <w:lang w:bidi="bo-CN"/>
        </w:rPr>
      </w:pPr>
      <w:r w:rsidRPr="0042111C">
        <w:rPr>
          <w:rFonts w:eastAsia="Times New Roman"/>
          <w:lang w:bidi="bo-CN"/>
        </w:rPr>
        <w:t xml:space="preserve">Helman-Ważny, Agnieszka. </w:t>
      </w:r>
      <w:r w:rsidRPr="0042111C">
        <w:rPr>
          <w:rFonts w:eastAsia="Times New Roman"/>
          <w:i/>
          <w:iCs/>
          <w:lang w:bidi="bo-CN"/>
        </w:rPr>
        <w:t>The Archaeology of Tibetan Books</w:t>
      </w:r>
      <w:r w:rsidRPr="0042111C">
        <w:rPr>
          <w:rFonts w:eastAsia="Times New Roman"/>
          <w:lang w:bidi="bo-CN"/>
        </w:rPr>
        <w:t>. Brill’s Tibetan Studies Library, volume 36. Leiden; Boston: Brill, 2014.</w:t>
      </w:r>
    </w:p>
    <w:p w14:paraId="5AD62826" w14:textId="77777777" w:rsidR="0042111C" w:rsidRPr="0042111C" w:rsidRDefault="0042111C" w:rsidP="00AF4C05">
      <w:pPr>
        <w:ind w:left="480" w:hanging="480"/>
        <w:rPr>
          <w:rFonts w:eastAsia="Times New Roman"/>
          <w:lang w:bidi="bo-CN"/>
        </w:rPr>
      </w:pPr>
    </w:p>
    <w:p w14:paraId="42A972B0" w14:textId="1DCAA701" w:rsidR="0042111C" w:rsidRDefault="0042111C" w:rsidP="00AF4C05">
      <w:pPr>
        <w:ind w:left="480" w:hanging="480"/>
        <w:rPr>
          <w:rFonts w:eastAsia="Times New Roman"/>
          <w:lang w:bidi="bo-CN"/>
        </w:rPr>
      </w:pPr>
      <w:r w:rsidRPr="0042111C">
        <w:rPr>
          <w:rFonts w:eastAsia="Times New Roman"/>
          <w:lang w:bidi="bo-CN"/>
        </w:rPr>
        <w:t xml:space="preserve">Hirasawa, Caroline, and Benedetta Lomi. “Editors’ Introduction: Modest Materialities: The Social Lives and Afterlives of Sacred Things in Japan.” </w:t>
      </w:r>
      <w:r w:rsidRPr="0042111C">
        <w:rPr>
          <w:rFonts w:eastAsia="Times New Roman"/>
          <w:i/>
          <w:iCs/>
          <w:lang w:bidi="bo-CN"/>
        </w:rPr>
        <w:t>Japanese Journal of Religious Studies</w:t>
      </w:r>
      <w:r w:rsidRPr="0042111C">
        <w:rPr>
          <w:rFonts w:eastAsia="Times New Roman"/>
          <w:lang w:bidi="bo-CN"/>
        </w:rPr>
        <w:t xml:space="preserve"> 45, no. 2 (December 30, 2018). </w:t>
      </w:r>
    </w:p>
    <w:p w14:paraId="02758D29" w14:textId="77777777" w:rsidR="0047571A" w:rsidRPr="0042111C" w:rsidRDefault="0047571A" w:rsidP="00AF4C05">
      <w:pPr>
        <w:ind w:left="480" w:hanging="480"/>
        <w:rPr>
          <w:rFonts w:eastAsia="Times New Roman"/>
          <w:lang w:bidi="bo-CN"/>
        </w:rPr>
      </w:pPr>
    </w:p>
    <w:p w14:paraId="79A1A366" w14:textId="7B013C2E" w:rsidR="0042111C" w:rsidRDefault="0042111C" w:rsidP="00AF4C05">
      <w:pPr>
        <w:ind w:left="480" w:hanging="480"/>
        <w:rPr>
          <w:rFonts w:eastAsia="Times New Roman"/>
          <w:lang w:bidi="bo-CN"/>
        </w:rPr>
      </w:pPr>
      <w:r w:rsidRPr="0042111C">
        <w:rPr>
          <w:rFonts w:eastAsia="Times New Roman"/>
          <w:lang w:bidi="bo-CN"/>
        </w:rPr>
        <w:t xml:space="preserve">Howsam, Leslie. </w:t>
      </w:r>
      <w:r w:rsidRPr="0042111C">
        <w:rPr>
          <w:rFonts w:eastAsia="Times New Roman"/>
          <w:i/>
          <w:iCs/>
          <w:lang w:bidi="bo-CN"/>
        </w:rPr>
        <w:t>Old Books and New Histories: An Orientation to Studies in Book and Print Culture</w:t>
      </w:r>
      <w:r w:rsidRPr="0042111C">
        <w:rPr>
          <w:rFonts w:eastAsia="Times New Roman"/>
          <w:lang w:bidi="bo-CN"/>
        </w:rPr>
        <w:t>. Studies in Book and Print Culture. Toronto; Buffalo: University of Toronto Press, 2006.</w:t>
      </w:r>
    </w:p>
    <w:p w14:paraId="3878527C" w14:textId="77777777" w:rsidR="0042111C" w:rsidRPr="0042111C" w:rsidRDefault="0042111C" w:rsidP="00AF4C05">
      <w:pPr>
        <w:ind w:left="480" w:hanging="480"/>
        <w:rPr>
          <w:rFonts w:eastAsia="Times New Roman"/>
          <w:lang w:bidi="bo-CN"/>
        </w:rPr>
      </w:pPr>
    </w:p>
    <w:p w14:paraId="49067B9C" w14:textId="3D5DCDF5" w:rsidR="0042111C" w:rsidRDefault="0042111C" w:rsidP="00AF4C05">
      <w:pPr>
        <w:ind w:left="480" w:hanging="480"/>
        <w:rPr>
          <w:rFonts w:eastAsia="Times New Roman"/>
          <w:lang w:bidi="bo-CN"/>
        </w:rPr>
      </w:pPr>
      <w:r w:rsidRPr="0042111C">
        <w:rPr>
          <w:rFonts w:eastAsia="Times New Roman"/>
          <w:lang w:bidi="bo-CN"/>
        </w:rPr>
        <w:t xml:space="preserve">Jackson, David. “The Dating of Tibetan Paintings Is Perfectly Possible - Though Not Always Perfectly Exact.” In </w:t>
      </w:r>
      <w:r w:rsidRPr="0042111C">
        <w:rPr>
          <w:rFonts w:eastAsia="Times New Roman"/>
          <w:i/>
          <w:iCs/>
          <w:lang w:bidi="bo-CN"/>
        </w:rPr>
        <w:t>Dating Tibetan Art: Essays on the Possibilities and Impossibilities of Chronology from the Lempertz Symposium, Cologne</w:t>
      </w:r>
      <w:r w:rsidRPr="0042111C">
        <w:rPr>
          <w:rFonts w:eastAsia="Times New Roman"/>
          <w:lang w:bidi="bo-CN"/>
        </w:rPr>
        <w:t>, edited by Ingrid Kreide-Damani. Contributions to Tibetan Studies, v. 3. Wiesbaden: L. Reichert, 2003.</w:t>
      </w:r>
    </w:p>
    <w:p w14:paraId="52B2F84F" w14:textId="77777777" w:rsidR="0047571A" w:rsidRPr="0042111C" w:rsidRDefault="0047571A" w:rsidP="00AF4C05">
      <w:pPr>
        <w:ind w:left="480" w:hanging="480"/>
        <w:rPr>
          <w:rFonts w:eastAsia="Times New Roman"/>
          <w:lang w:bidi="bo-CN"/>
        </w:rPr>
      </w:pPr>
    </w:p>
    <w:p w14:paraId="18C0FDBF" w14:textId="36ECD367" w:rsidR="0042111C" w:rsidRDefault="0042111C" w:rsidP="00AF4C05">
      <w:pPr>
        <w:ind w:left="480" w:hanging="480"/>
        <w:rPr>
          <w:rFonts w:eastAsia="Times New Roman"/>
          <w:lang w:bidi="bo-CN"/>
        </w:rPr>
      </w:pPr>
      <w:r w:rsidRPr="0042111C">
        <w:rPr>
          <w:rFonts w:eastAsia="Times New Roman"/>
          <w:lang w:bidi="bo-CN"/>
        </w:rPr>
        <w:t xml:space="preserve">Jackson, David Paul. </w:t>
      </w:r>
      <w:r w:rsidRPr="0042111C">
        <w:rPr>
          <w:rFonts w:eastAsia="Times New Roman"/>
          <w:i/>
          <w:iCs/>
          <w:lang w:bidi="bo-CN"/>
        </w:rPr>
        <w:t>A History of Tibetan Painting: The Great Tibetan Painters and Their Traditions</w:t>
      </w:r>
      <w:r w:rsidRPr="0042111C">
        <w:rPr>
          <w:rFonts w:eastAsia="Times New Roman"/>
          <w:lang w:bidi="bo-CN"/>
        </w:rPr>
        <w:t>. Beiträge Zur Kultur- Und Geistesgeschichte Asiens, Nr. 15. Wien: Verlag der Österreichischen Akademie der Wissenschaften, 1996.</w:t>
      </w:r>
    </w:p>
    <w:p w14:paraId="3676F50E" w14:textId="77777777" w:rsidR="0047571A" w:rsidRPr="0042111C" w:rsidRDefault="0047571A" w:rsidP="00AF4C05">
      <w:pPr>
        <w:ind w:left="480" w:hanging="480"/>
        <w:rPr>
          <w:rFonts w:eastAsia="Times New Roman"/>
          <w:lang w:bidi="bo-CN"/>
        </w:rPr>
      </w:pPr>
    </w:p>
    <w:p w14:paraId="057063B3" w14:textId="77777777" w:rsidR="0047571A" w:rsidRDefault="0042111C" w:rsidP="00AF4C05">
      <w:pPr>
        <w:ind w:left="480" w:hanging="480"/>
        <w:rPr>
          <w:rFonts w:eastAsia="Times New Roman"/>
          <w:lang w:bidi="bo-CN"/>
        </w:rPr>
      </w:pPr>
      <w:r w:rsidRPr="0042111C">
        <w:rPr>
          <w:rFonts w:eastAsia="Times New Roman"/>
          <w:lang w:bidi="bo-CN"/>
        </w:rPr>
        <w:t xml:space="preserve">James B. Apple. “The Phrase Dharmaparyāyo Hastagato in Mahāyāna Buddhist Literature: Rethinking the Cult of the Book in Middle Period Indian Mahāyāna Buddhism.” </w:t>
      </w:r>
      <w:r w:rsidRPr="0042111C">
        <w:rPr>
          <w:rFonts w:eastAsia="Times New Roman"/>
          <w:i/>
          <w:iCs/>
          <w:lang w:bidi="bo-CN"/>
        </w:rPr>
        <w:t>Journal of the American Oriental Society</w:t>
      </w:r>
      <w:r w:rsidRPr="0042111C">
        <w:rPr>
          <w:rFonts w:eastAsia="Times New Roman"/>
          <w:lang w:bidi="bo-CN"/>
        </w:rPr>
        <w:t xml:space="preserve"> 134, no. 1 (2014): 25. </w:t>
      </w:r>
    </w:p>
    <w:p w14:paraId="3ED33558" w14:textId="43AD89DE" w:rsidR="0042111C" w:rsidRPr="0042111C" w:rsidRDefault="0042111C" w:rsidP="00AF4C05">
      <w:pPr>
        <w:ind w:left="480" w:hanging="480"/>
        <w:rPr>
          <w:rFonts w:eastAsia="Times New Roman"/>
          <w:lang w:bidi="bo-CN"/>
        </w:rPr>
      </w:pPr>
    </w:p>
    <w:p w14:paraId="47B24A35" w14:textId="72B50F6B" w:rsidR="0042111C" w:rsidRDefault="0042111C" w:rsidP="00AF4C05">
      <w:pPr>
        <w:ind w:left="480" w:hanging="480"/>
        <w:rPr>
          <w:rFonts w:eastAsia="Times New Roman"/>
          <w:lang w:bidi="bo-CN"/>
        </w:rPr>
      </w:pPr>
      <w:r w:rsidRPr="0042111C">
        <w:rPr>
          <w:rFonts w:eastAsia="Times New Roman"/>
          <w:lang w:bidi="bo-CN"/>
        </w:rPr>
        <w:t xml:space="preserve">Jest, Corneille. “A Technical Note on the Tibetan Method of Block-Carving.” </w:t>
      </w:r>
      <w:r w:rsidRPr="0042111C">
        <w:rPr>
          <w:rFonts w:eastAsia="Times New Roman"/>
          <w:i/>
          <w:iCs/>
          <w:lang w:bidi="bo-CN"/>
        </w:rPr>
        <w:t>Man</w:t>
      </w:r>
      <w:r w:rsidRPr="0042111C">
        <w:rPr>
          <w:rFonts w:eastAsia="Times New Roman"/>
          <w:lang w:bidi="bo-CN"/>
        </w:rPr>
        <w:t xml:space="preserve"> 61 (1961): 83–85.</w:t>
      </w:r>
    </w:p>
    <w:p w14:paraId="271D7E8D" w14:textId="77777777" w:rsidR="0047571A" w:rsidRPr="0042111C" w:rsidRDefault="0047571A" w:rsidP="00AF4C05">
      <w:pPr>
        <w:ind w:left="480" w:hanging="480"/>
        <w:rPr>
          <w:rFonts w:eastAsia="Times New Roman"/>
          <w:lang w:bidi="bo-CN"/>
        </w:rPr>
      </w:pPr>
    </w:p>
    <w:p w14:paraId="1DD5B9E8" w14:textId="279B3229" w:rsidR="0042111C" w:rsidRDefault="0042111C" w:rsidP="00AF4C05">
      <w:pPr>
        <w:ind w:left="480" w:hanging="480"/>
        <w:rPr>
          <w:rFonts w:eastAsia="Times New Roman"/>
          <w:lang w:bidi="bo-CN"/>
        </w:rPr>
      </w:pPr>
      <w:r w:rsidRPr="0042111C">
        <w:rPr>
          <w:rFonts w:eastAsia="Times New Roman"/>
          <w:lang w:bidi="bo-CN"/>
        </w:rPr>
        <w:t xml:space="preserve">Kachru, Sonam. </w:t>
      </w:r>
      <w:r w:rsidRPr="0042111C">
        <w:rPr>
          <w:rFonts w:eastAsia="Times New Roman"/>
          <w:i/>
          <w:iCs/>
          <w:lang w:bidi="bo-CN"/>
        </w:rPr>
        <w:t>Other Lives: Mind and World in Indian Buddhism</w:t>
      </w:r>
      <w:r w:rsidRPr="0042111C">
        <w:rPr>
          <w:rFonts w:eastAsia="Times New Roman"/>
          <w:lang w:bidi="bo-CN"/>
        </w:rPr>
        <w:t>. New York: Columbia University Press, 2021.</w:t>
      </w:r>
    </w:p>
    <w:p w14:paraId="07E01D59" w14:textId="77777777" w:rsidR="0047571A" w:rsidRPr="0042111C" w:rsidRDefault="0047571A" w:rsidP="00AF4C05">
      <w:pPr>
        <w:ind w:left="480" w:hanging="480"/>
        <w:rPr>
          <w:rFonts w:eastAsia="Times New Roman"/>
          <w:lang w:bidi="bo-CN"/>
        </w:rPr>
      </w:pPr>
    </w:p>
    <w:p w14:paraId="2B49CD47" w14:textId="5DE3E3BE" w:rsidR="0042111C" w:rsidRDefault="0042111C" w:rsidP="00AF4C05">
      <w:pPr>
        <w:ind w:left="480" w:hanging="480"/>
        <w:rPr>
          <w:rFonts w:eastAsia="Times New Roman"/>
          <w:lang w:bidi="bo-CN"/>
        </w:rPr>
      </w:pPr>
      <w:r w:rsidRPr="0042111C">
        <w:rPr>
          <w:rFonts w:eastAsia="Times New Roman"/>
          <w:lang w:bidi="bo-CN"/>
        </w:rPr>
        <w:t xml:space="preserve">Kapstein, Matthew T. </w:t>
      </w:r>
      <w:r w:rsidRPr="0042111C">
        <w:rPr>
          <w:rFonts w:eastAsia="Times New Roman"/>
          <w:i/>
          <w:iCs/>
          <w:lang w:bidi="bo-CN"/>
        </w:rPr>
        <w:t>The Tibetan Assimilation of Buddhism: Conversion, Contestation, and Memory</w:t>
      </w:r>
      <w:r w:rsidRPr="0042111C">
        <w:rPr>
          <w:rFonts w:eastAsia="Times New Roman"/>
          <w:lang w:bidi="bo-CN"/>
        </w:rPr>
        <w:t>. New York: Oxford University Press, 2002.</w:t>
      </w:r>
    </w:p>
    <w:p w14:paraId="5A8A621D" w14:textId="77777777" w:rsidR="0047571A" w:rsidRPr="0042111C" w:rsidRDefault="0047571A" w:rsidP="00AF4C05">
      <w:pPr>
        <w:ind w:left="480" w:hanging="480"/>
        <w:rPr>
          <w:rFonts w:eastAsia="Times New Roman"/>
          <w:lang w:bidi="bo-CN"/>
        </w:rPr>
      </w:pPr>
    </w:p>
    <w:p w14:paraId="4954E805" w14:textId="0AA4D76E" w:rsidR="0042111C" w:rsidRDefault="0042111C" w:rsidP="00AF4C05">
      <w:pPr>
        <w:ind w:left="480" w:hanging="480"/>
        <w:rPr>
          <w:rFonts w:eastAsia="Times New Roman"/>
          <w:lang w:bidi="bo-CN"/>
        </w:rPr>
      </w:pPr>
      <w:r w:rsidRPr="0042111C">
        <w:rPr>
          <w:rFonts w:eastAsia="Times New Roman"/>
          <w:lang w:bidi="bo-CN"/>
        </w:rPr>
        <w:lastRenderedPageBreak/>
        <w:t xml:space="preserve">Kim, Jinah. </w:t>
      </w:r>
      <w:r w:rsidRPr="0042111C">
        <w:rPr>
          <w:rFonts w:eastAsia="Times New Roman"/>
          <w:i/>
          <w:iCs/>
          <w:lang w:bidi="bo-CN"/>
        </w:rPr>
        <w:t>Receptacle of the Sacred: Illustrated Manuscripts and the Buddhist Book Cult in South Asia</w:t>
      </w:r>
      <w:r w:rsidRPr="0042111C">
        <w:rPr>
          <w:rFonts w:eastAsia="Times New Roman"/>
          <w:lang w:bidi="bo-CN"/>
        </w:rPr>
        <w:t>. South Asia across the Disciplines. Berkeley: University of California Press, 2013.</w:t>
      </w:r>
    </w:p>
    <w:p w14:paraId="70E93D8C" w14:textId="77777777" w:rsidR="0047571A" w:rsidRPr="0042111C" w:rsidRDefault="0047571A" w:rsidP="00AF4C05">
      <w:pPr>
        <w:ind w:left="480" w:hanging="480"/>
        <w:rPr>
          <w:rFonts w:eastAsia="Times New Roman"/>
          <w:lang w:bidi="bo-CN"/>
        </w:rPr>
      </w:pPr>
    </w:p>
    <w:p w14:paraId="6E2BF677" w14:textId="3EEB129B" w:rsidR="0047571A" w:rsidRDefault="0042111C" w:rsidP="00AF4C05">
      <w:pPr>
        <w:ind w:left="480" w:hanging="480"/>
        <w:rPr>
          <w:rFonts w:eastAsia="Times New Roman"/>
          <w:lang w:bidi="bo-CN"/>
        </w:rPr>
      </w:pPr>
      <w:r w:rsidRPr="0042111C">
        <w:rPr>
          <w:rFonts w:eastAsia="Times New Roman"/>
          <w:lang w:bidi="bo-CN"/>
        </w:rPr>
        <w:t xml:space="preserve">Kinnard, Jacob. “It Is What It Is (Or Is It?).” </w:t>
      </w:r>
      <w:r w:rsidRPr="0042111C">
        <w:rPr>
          <w:rFonts w:eastAsia="Times New Roman"/>
          <w:i/>
          <w:iCs/>
          <w:lang w:bidi="bo-CN"/>
        </w:rPr>
        <w:t>Postscripts: The Journal of Sacred Texts, Cultural Histories, and Contemporary Contexts</w:t>
      </w:r>
      <w:r w:rsidRPr="0042111C">
        <w:rPr>
          <w:rFonts w:eastAsia="Times New Roman"/>
          <w:lang w:bidi="bo-CN"/>
        </w:rPr>
        <w:t xml:space="preserve"> 6, no. 1–3 (June 27, 2012): 101–16. </w:t>
      </w:r>
    </w:p>
    <w:p w14:paraId="5B3589C4" w14:textId="77777777" w:rsidR="0047571A" w:rsidRDefault="0047571A" w:rsidP="00AF4C05">
      <w:pPr>
        <w:ind w:left="480" w:hanging="480"/>
        <w:rPr>
          <w:rFonts w:eastAsia="Times New Roman"/>
          <w:lang w:bidi="bo-CN"/>
        </w:rPr>
      </w:pPr>
    </w:p>
    <w:p w14:paraId="50DB2364" w14:textId="2FF30CA8" w:rsidR="0042111C" w:rsidRDefault="0042111C" w:rsidP="00AF4C05">
      <w:pPr>
        <w:ind w:left="480" w:hanging="480"/>
        <w:rPr>
          <w:rFonts w:eastAsia="Times New Roman"/>
          <w:lang w:bidi="bo-CN"/>
        </w:rPr>
      </w:pPr>
      <w:r w:rsidRPr="0042111C">
        <w:rPr>
          <w:rFonts w:eastAsia="Times New Roman"/>
          <w:lang w:bidi="bo-CN"/>
        </w:rPr>
        <w:t xml:space="preserve">Kinnard, Jacob N. </w:t>
      </w:r>
      <w:r w:rsidRPr="0042111C">
        <w:rPr>
          <w:rFonts w:eastAsia="Times New Roman"/>
          <w:i/>
          <w:iCs/>
          <w:lang w:bidi="bo-CN"/>
        </w:rPr>
        <w:t>Imaging Wisdom: Seeing and Knowing in the Art of Indian Buddhism</w:t>
      </w:r>
      <w:r w:rsidRPr="0042111C">
        <w:rPr>
          <w:rFonts w:eastAsia="Times New Roman"/>
          <w:lang w:bidi="bo-CN"/>
        </w:rPr>
        <w:t>. Curzon Critical Studies in Buddhism. Richmond, Surrey: Curzon, 1999.</w:t>
      </w:r>
    </w:p>
    <w:p w14:paraId="1A394474" w14:textId="77777777" w:rsidR="0047571A" w:rsidRPr="0042111C" w:rsidRDefault="0047571A" w:rsidP="00AF4C05">
      <w:pPr>
        <w:ind w:left="480" w:hanging="480"/>
        <w:rPr>
          <w:rFonts w:eastAsia="Times New Roman"/>
          <w:lang w:bidi="bo-CN"/>
        </w:rPr>
      </w:pPr>
    </w:p>
    <w:p w14:paraId="01E9853B" w14:textId="2203CB31" w:rsidR="0042111C" w:rsidRDefault="0042111C" w:rsidP="00AF4C05">
      <w:pPr>
        <w:ind w:left="480" w:hanging="480"/>
        <w:rPr>
          <w:rFonts w:eastAsia="Times New Roman"/>
          <w:lang w:bidi="bo-CN"/>
        </w:rPr>
      </w:pPr>
      <w:r w:rsidRPr="0042111C">
        <w:rPr>
          <w:rFonts w:eastAsia="Times New Roman"/>
          <w:lang w:bidi="bo-CN"/>
        </w:rPr>
        <w:t xml:space="preserve">Klein, Anne Carolyn. “Oral Genres and the Art of Reading in Tibet.” </w:t>
      </w:r>
      <w:r w:rsidRPr="0042111C">
        <w:rPr>
          <w:rFonts w:eastAsia="Times New Roman"/>
          <w:i/>
          <w:iCs/>
          <w:lang w:bidi="bo-CN"/>
        </w:rPr>
        <w:t>Oral Tradition</w:t>
      </w:r>
      <w:r w:rsidRPr="0042111C">
        <w:rPr>
          <w:rFonts w:eastAsia="Times New Roman"/>
          <w:lang w:bidi="bo-CN"/>
        </w:rPr>
        <w:t xml:space="preserve"> 9, no. 2 (1994): 281–314.</w:t>
      </w:r>
    </w:p>
    <w:p w14:paraId="0696E15C" w14:textId="77777777" w:rsidR="0047571A" w:rsidRPr="0042111C" w:rsidRDefault="0047571A" w:rsidP="00242967">
      <w:pPr>
        <w:ind w:left="480" w:hanging="475"/>
        <w:rPr>
          <w:rFonts w:eastAsia="Times New Roman"/>
          <w:lang w:bidi="bo-CN"/>
        </w:rPr>
      </w:pPr>
    </w:p>
    <w:p w14:paraId="405BF593" w14:textId="77B2B601" w:rsidR="00242967" w:rsidRPr="00242967" w:rsidRDefault="00242967" w:rsidP="00242967">
      <w:pPr>
        <w:autoSpaceDE w:val="0"/>
        <w:autoSpaceDN w:val="0"/>
        <w:adjustRightInd w:val="0"/>
        <w:ind w:left="475" w:hanging="475"/>
        <w:rPr>
          <w:lang w:bidi="bo-CN"/>
        </w:rPr>
      </w:pPr>
      <w:r>
        <w:rPr>
          <w:lang w:bidi="bo-CN"/>
        </w:rPr>
        <w:t>Lee, Der-Huey. “Bhaiṣajyaguru.” In Buddhism and Jainism, edited by K. T. S. Sarao and Jeffery D. Long, 214–20. Encyclopedia of Indian Religions. Dordrecht: Springer Netherlands, 2017.</w:t>
      </w:r>
    </w:p>
    <w:p w14:paraId="5C2ACB76" w14:textId="77777777" w:rsidR="00242967" w:rsidRDefault="00242967" w:rsidP="00AF4C05">
      <w:pPr>
        <w:ind w:left="480" w:hanging="480"/>
        <w:rPr>
          <w:rFonts w:eastAsia="Times New Roman"/>
          <w:lang w:bidi="bo-CN"/>
        </w:rPr>
      </w:pPr>
    </w:p>
    <w:p w14:paraId="76A8CA00" w14:textId="22E8E876" w:rsidR="0042111C" w:rsidRDefault="0042111C" w:rsidP="00AF4C05">
      <w:pPr>
        <w:ind w:left="480" w:hanging="480"/>
        <w:rPr>
          <w:rFonts w:eastAsia="Times New Roman"/>
          <w:lang w:bidi="bo-CN"/>
        </w:rPr>
      </w:pPr>
      <w:r w:rsidRPr="0042111C">
        <w:rPr>
          <w:rFonts w:eastAsia="Times New Roman"/>
          <w:lang w:bidi="bo-CN"/>
        </w:rPr>
        <w:t xml:space="preserve">Lo Bue, Erberto. </w:t>
      </w:r>
      <w:r w:rsidRPr="0042111C">
        <w:rPr>
          <w:rFonts w:eastAsia="Times New Roman"/>
          <w:i/>
          <w:iCs/>
          <w:lang w:bidi="bo-CN"/>
        </w:rPr>
        <w:t>Proceedings of the Tenth Seminar of the IATS, 2003. Volume 13: Art in Tibet: Issues in Traditional Tibetan Art from the Seventh to the Twentieth Century</w:t>
      </w:r>
      <w:r w:rsidRPr="0042111C">
        <w:rPr>
          <w:rFonts w:eastAsia="Times New Roman"/>
          <w:lang w:bidi="bo-CN"/>
        </w:rPr>
        <w:t xml:space="preserve">. BRILL, 2011. </w:t>
      </w:r>
    </w:p>
    <w:p w14:paraId="497C2570" w14:textId="77777777" w:rsidR="0047571A" w:rsidRPr="0042111C" w:rsidRDefault="0047571A" w:rsidP="00AF4C05">
      <w:pPr>
        <w:ind w:left="480" w:hanging="480"/>
        <w:rPr>
          <w:rFonts w:eastAsia="Times New Roman"/>
          <w:lang w:bidi="bo-CN"/>
        </w:rPr>
      </w:pPr>
    </w:p>
    <w:p w14:paraId="445A4A3A" w14:textId="3AB52150" w:rsidR="0042111C" w:rsidRDefault="0042111C" w:rsidP="00AF4C05">
      <w:pPr>
        <w:ind w:left="480" w:hanging="480"/>
        <w:rPr>
          <w:rFonts w:eastAsia="Times New Roman"/>
          <w:lang w:bidi="bo-CN"/>
        </w:rPr>
      </w:pPr>
      <w:r w:rsidRPr="0042111C">
        <w:rPr>
          <w:rFonts w:eastAsia="Times New Roman"/>
          <w:lang w:bidi="bo-CN"/>
        </w:rPr>
        <w:t xml:space="preserve">Lopez, Donald S., ed. </w:t>
      </w:r>
      <w:r w:rsidRPr="0042111C">
        <w:rPr>
          <w:rFonts w:eastAsia="Times New Roman"/>
          <w:i/>
          <w:iCs/>
          <w:lang w:bidi="bo-CN"/>
        </w:rPr>
        <w:t>Buddhist Hermeneutics</w:t>
      </w:r>
      <w:r w:rsidRPr="0042111C">
        <w:rPr>
          <w:rFonts w:eastAsia="Times New Roman"/>
          <w:lang w:bidi="bo-CN"/>
        </w:rPr>
        <w:t>. 1. Indian ed. New Delhi: Motilal Banarsidass Publishers, 1993.</w:t>
      </w:r>
    </w:p>
    <w:p w14:paraId="51CBDBEB" w14:textId="77777777" w:rsidR="0047571A" w:rsidRPr="0042111C" w:rsidRDefault="0047571A" w:rsidP="00AF4C05">
      <w:pPr>
        <w:ind w:left="480" w:hanging="480"/>
        <w:rPr>
          <w:rFonts w:eastAsia="Times New Roman"/>
          <w:lang w:bidi="bo-CN"/>
        </w:rPr>
      </w:pPr>
    </w:p>
    <w:p w14:paraId="56DE76F3" w14:textId="14C0A8C1" w:rsidR="0042111C" w:rsidRDefault="0042111C" w:rsidP="00AF4C05">
      <w:pPr>
        <w:ind w:left="480" w:hanging="480"/>
        <w:rPr>
          <w:rFonts w:eastAsia="Times New Roman"/>
          <w:lang w:bidi="bo-CN"/>
        </w:rPr>
      </w:pPr>
      <w:r w:rsidRPr="0042111C">
        <w:rPr>
          <w:rFonts w:eastAsia="Times New Roman"/>
          <w:lang w:bidi="bo-CN"/>
        </w:rPr>
        <w:t xml:space="preserve">Lowe, Bryan D. </w:t>
      </w:r>
      <w:r w:rsidRPr="0042111C">
        <w:rPr>
          <w:rFonts w:eastAsia="Times New Roman"/>
          <w:i/>
          <w:iCs/>
          <w:lang w:bidi="bo-CN"/>
        </w:rPr>
        <w:t>Ritualized Writing: Buddhist Practice and Scriptural Cultures in Ancient Japan</w:t>
      </w:r>
      <w:r w:rsidRPr="0042111C">
        <w:rPr>
          <w:rFonts w:eastAsia="Times New Roman"/>
          <w:lang w:bidi="bo-CN"/>
        </w:rPr>
        <w:t>. Studies in East Asian Buddhism 27. Honolulu: A Kuroda Institute Book, University of Hawaiʻi Press, 2017.</w:t>
      </w:r>
    </w:p>
    <w:p w14:paraId="3E16BA8C" w14:textId="77777777" w:rsidR="0047571A" w:rsidRPr="0042111C" w:rsidRDefault="0047571A" w:rsidP="00AF4C05">
      <w:pPr>
        <w:ind w:left="480" w:hanging="480"/>
        <w:rPr>
          <w:rFonts w:eastAsia="Times New Roman"/>
          <w:lang w:bidi="bo-CN"/>
        </w:rPr>
      </w:pPr>
    </w:p>
    <w:p w14:paraId="479843C5" w14:textId="318CA963" w:rsidR="0047571A" w:rsidRPr="0042111C" w:rsidRDefault="0042111C" w:rsidP="00AF4C05">
      <w:pPr>
        <w:ind w:left="480" w:hanging="480"/>
        <w:rPr>
          <w:rFonts w:eastAsia="Times New Roman"/>
          <w:lang w:bidi="bo-CN"/>
        </w:rPr>
      </w:pPr>
      <w:r w:rsidRPr="0042111C">
        <w:rPr>
          <w:rFonts w:eastAsia="Times New Roman"/>
          <w:lang w:bidi="bo-CN"/>
        </w:rPr>
        <w:t xml:space="preserve">Luczanits, Christian. “Art-Historical Aspects of Dating Tibetan Art.” In </w:t>
      </w:r>
      <w:r w:rsidRPr="0042111C">
        <w:rPr>
          <w:rFonts w:eastAsia="Times New Roman"/>
          <w:i/>
          <w:iCs/>
          <w:lang w:bidi="bo-CN"/>
        </w:rPr>
        <w:t>Dating Tibetan Art: Essays on the Possibilities and Impossibilities of Chronology from the Lempertz Symposium, Cologne</w:t>
      </w:r>
      <w:r w:rsidRPr="0042111C">
        <w:rPr>
          <w:rFonts w:eastAsia="Times New Roman"/>
          <w:lang w:bidi="bo-CN"/>
        </w:rPr>
        <w:t>, edited by Ingrid Kreide-Damani, 25–58. Contributions to Tibetan Studies, v. 3. Wiesbaden: L. Reichert, 2003.</w:t>
      </w:r>
    </w:p>
    <w:p w14:paraId="4892822A" w14:textId="376CBCDA" w:rsidR="0042111C" w:rsidRDefault="0042111C" w:rsidP="00AF4C05">
      <w:pPr>
        <w:ind w:left="480" w:hanging="480"/>
        <w:rPr>
          <w:rFonts w:eastAsia="Times New Roman"/>
          <w:lang w:bidi="bo-CN"/>
        </w:rPr>
      </w:pPr>
      <w:r w:rsidRPr="0042111C">
        <w:rPr>
          <w:rFonts w:eastAsia="Times New Roman"/>
          <w:lang w:bidi="bo-CN"/>
        </w:rPr>
        <w:t xml:space="preserve">———. “Establishing an Iconography – the Case of Early Tibetan Representations of the Medicine Buddhas.” </w:t>
      </w:r>
      <w:r w:rsidRPr="0042111C">
        <w:rPr>
          <w:rFonts w:eastAsia="Times New Roman"/>
          <w:i/>
          <w:iCs/>
          <w:lang w:bidi="bo-CN"/>
        </w:rPr>
        <w:t>Journal of Tibetology</w:t>
      </w:r>
      <w:r w:rsidRPr="0042111C">
        <w:rPr>
          <w:rFonts w:eastAsia="Times New Roman"/>
          <w:lang w:bidi="bo-CN"/>
        </w:rPr>
        <w:t xml:space="preserve"> 22, no. 1 (2020): 119–48.</w:t>
      </w:r>
    </w:p>
    <w:p w14:paraId="6195BA54" w14:textId="77777777" w:rsidR="0047571A" w:rsidRPr="0042111C" w:rsidRDefault="0047571A" w:rsidP="00AF4C05">
      <w:pPr>
        <w:ind w:left="480" w:hanging="480"/>
        <w:rPr>
          <w:rFonts w:eastAsia="Times New Roman"/>
          <w:lang w:bidi="bo-CN"/>
        </w:rPr>
      </w:pPr>
    </w:p>
    <w:p w14:paraId="37985F53" w14:textId="2D28FD12" w:rsidR="0042111C" w:rsidRDefault="0042111C" w:rsidP="00AF4C05">
      <w:pPr>
        <w:ind w:left="480" w:hanging="480"/>
        <w:rPr>
          <w:rFonts w:eastAsia="Times New Roman"/>
          <w:lang w:bidi="bo-CN"/>
        </w:rPr>
      </w:pPr>
      <w:r w:rsidRPr="0042111C">
        <w:rPr>
          <w:rFonts w:eastAsia="Times New Roman"/>
          <w:lang w:bidi="bo-CN"/>
        </w:rPr>
        <w:t xml:space="preserve">McGrath, William A. “Origin Narratives of the Tibetan Medical Tradition.” </w:t>
      </w:r>
      <w:r w:rsidRPr="0042111C">
        <w:rPr>
          <w:rFonts w:eastAsia="Times New Roman"/>
          <w:i/>
          <w:iCs/>
          <w:lang w:bidi="bo-CN"/>
        </w:rPr>
        <w:t>Asian Medicine</w:t>
      </w:r>
      <w:r w:rsidRPr="0042111C">
        <w:rPr>
          <w:rFonts w:eastAsia="Times New Roman"/>
          <w:lang w:bidi="bo-CN"/>
        </w:rPr>
        <w:t xml:space="preserve"> 12, no. 1–2 (February 21, 2017): 295–316. </w:t>
      </w:r>
    </w:p>
    <w:p w14:paraId="18816B57" w14:textId="77777777" w:rsidR="0047571A" w:rsidRPr="0042111C" w:rsidRDefault="0047571A" w:rsidP="00AF4C05">
      <w:pPr>
        <w:ind w:left="480" w:hanging="480"/>
        <w:rPr>
          <w:rFonts w:eastAsia="Times New Roman"/>
          <w:lang w:bidi="bo-CN"/>
        </w:rPr>
      </w:pPr>
    </w:p>
    <w:p w14:paraId="6B8DB35D" w14:textId="66A5E5AF" w:rsidR="0042111C" w:rsidRDefault="0042111C" w:rsidP="00AF4C05">
      <w:pPr>
        <w:ind w:left="480" w:hanging="480"/>
        <w:rPr>
          <w:rFonts w:eastAsia="Times New Roman"/>
          <w:lang w:bidi="bo-CN"/>
        </w:rPr>
      </w:pPr>
      <w:r w:rsidRPr="0042111C">
        <w:rPr>
          <w:rFonts w:eastAsia="Times New Roman"/>
          <w:lang w:bidi="bo-CN"/>
        </w:rPr>
        <w:t xml:space="preserve">McMahan, David. “Orality, Writing, and Authority in South Asian Buddhism: Visionary Literature and the Struggle for Legitimacy in the Mahāyāna.” </w:t>
      </w:r>
      <w:r w:rsidRPr="0042111C">
        <w:rPr>
          <w:rFonts w:eastAsia="Times New Roman"/>
          <w:i/>
          <w:iCs/>
          <w:lang w:bidi="bo-CN"/>
        </w:rPr>
        <w:t>History of Religions</w:t>
      </w:r>
      <w:r w:rsidRPr="0042111C">
        <w:rPr>
          <w:rFonts w:eastAsia="Times New Roman"/>
          <w:lang w:bidi="bo-CN"/>
        </w:rPr>
        <w:t xml:space="preserve"> 37, no. 3 (February 1998): 249–74. </w:t>
      </w:r>
    </w:p>
    <w:p w14:paraId="05695354" w14:textId="77777777" w:rsidR="0047571A" w:rsidRPr="0042111C" w:rsidRDefault="0047571A" w:rsidP="00AF4C05">
      <w:pPr>
        <w:ind w:left="480" w:hanging="480"/>
        <w:rPr>
          <w:rFonts w:eastAsia="Times New Roman"/>
          <w:lang w:bidi="bo-CN"/>
        </w:rPr>
      </w:pPr>
    </w:p>
    <w:p w14:paraId="3626EA2D" w14:textId="34AE6E72" w:rsidR="0042111C" w:rsidRDefault="0042111C" w:rsidP="00AF4C05">
      <w:pPr>
        <w:ind w:left="480" w:hanging="480"/>
        <w:rPr>
          <w:rFonts w:eastAsia="Times New Roman"/>
          <w:lang w:bidi="bo-CN"/>
        </w:rPr>
      </w:pPr>
      <w:r w:rsidRPr="0042111C">
        <w:rPr>
          <w:rFonts w:eastAsia="Times New Roman"/>
          <w:lang w:bidi="bo-CN"/>
        </w:rPr>
        <w:t xml:space="preserve">Nāgārjuna, Jay L. Garfield, Nāgārjuna, and Nāgārjuna. </w:t>
      </w:r>
      <w:r w:rsidRPr="0042111C">
        <w:rPr>
          <w:rFonts w:eastAsia="Times New Roman"/>
          <w:i/>
          <w:iCs/>
          <w:lang w:bidi="bo-CN"/>
        </w:rPr>
        <w:t>The Fundamental Wisdom of the Middle Way: Nāgārjuna’s Mūlamadhyamakakārikā</w:t>
      </w:r>
      <w:r w:rsidRPr="0042111C">
        <w:rPr>
          <w:rFonts w:eastAsia="Times New Roman"/>
          <w:lang w:bidi="bo-CN"/>
        </w:rPr>
        <w:t>. New York: Oxford University Press, 1995.</w:t>
      </w:r>
    </w:p>
    <w:p w14:paraId="22CFD658" w14:textId="77777777" w:rsidR="0047571A" w:rsidRPr="0042111C" w:rsidRDefault="0047571A" w:rsidP="00AF4C05">
      <w:pPr>
        <w:ind w:left="480" w:hanging="480"/>
        <w:rPr>
          <w:rFonts w:eastAsia="Times New Roman"/>
          <w:lang w:bidi="bo-CN"/>
        </w:rPr>
      </w:pPr>
    </w:p>
    <w:p w14:paraId="0DF28FB3" w14:textId="5F982584" w:rsidR="0042111C" w:rsidRDefault="0042111C" w:rsidP="00AF4C05">
      <w:pPr>
        <w:ind w:left="480" w:hanging="480"/>
        <w:rPr>
          <w:rFonts w:eastAsia="Times New Roman"/>
          <w:lang w:bidi="bo-CN"/>
        </w:rPr>
      </w:pPr>
      <w:r w:rsidRPr="0042111C">
        <w:rPr>
          <w:rFonts w:eastAsia="Times New Roman"/>
          <w:lang w:bidi="bo-CN"/>
        </w:rPr>
        <w:t xml:space="preserve">Nāgārjuna, and Jan Westerhoff. </w:t>
      </w:r>
      <w:r w:rsidRPr="0042111C">
        <w:rPr>
          <w:rFonts w:eastAsia="Times New Roman"/>
          <w:i/>
          <w:iCs/>
          <w:lang w:bidi="bo-CN"/>
        </w:rPr>
        <w:t>The Dispeller of Disputes: Nāgārjuna’s Vigrahavyāvartanī</w:t>
      </w:r>
      <w:r w:rsidRPr="0042111C">
        <w:rPr>
          <w:rFonts w:eastAsia="Times New Roman"/>
          <w:lang w:bidi="bo-CN"/>
        </w:rPr>
        <w:t>. Oxford; New York: Oxford University Press, 2010.</w:t>
      </w:r>
    </w:p>
    <w:p w14:paraId="3F1339AB" w14:textId="77777777" w:rsidR="0047571A" w:rsidRPr="0042111C" w:rsidRDefault="0047571A" w:rsidP="00AF4C05">
      <w:pPr>
        <w:ind w:left="480" w:hanging="480"/>
        <w:rPr>
          <w:rFonts w:eastAsia="Times New Roman"/>
          <w:lang w:bidi="bo-CN"/>
        </w:rPr>
      </w:pPr>
    </w:p>
    <w:p w14:paraId="2D7F8737" w14:textId="0D107EEA" w:rsidR="0042111C" w:rsidRDefault="0042111C" w:rsidP="00AF4C05">
      <w:pPr>
        <w:ind w:left="480" w:hanging="480"/>
        <w:rPr>
          <w:rFonts w:eastAsia="Times New Roman"/>
          <w:lang w:bidi="bo-CN"/>
        </w:rPr>
      </w:pPr>
      <w:r w:rsidRPr="0042111C">
        <w:rPr>
          <w:rFonts w:eastAsia="Times New Roman"/>
          <w:lang w:bidi="bo-CN"/>
        </w:rPr>
        <w:t xml:space="preserve">Nāgārjuna, Jan Westerhoff, Nāgārjuna, and Nāgārjuna. </w:t>
      </w:r>
      <w:r w:rsidRPr="0042111C">
        <w:rPr>
          <w:rFonts w:eastAsia="Times New Roman"/>
          <w:i/>
          <w:iCs/>
          <w:lang w:bidi="bo-CN"/>
        </w:rPr>
        <w:t>Crushing the Categories (Vaidalyaprakaraṇa)</w:t>
      </w:r>
      <w:r w:rsidRPr="0042111C">
        <w:rPr>
          <w:rFonts w:eastAsia="Times New Roman"/>
          <w:lang w:bidi="bo-CN"/>
        </w:rPr>
        <w:t xml:space="preserve">. Treasury of the Buddhist Sciences Series. Tengyur Translation Initiative, CT 3053, 3057 (TOH. 3826, 3830). New York: American Institute </w:t>
      </w:r>
      <w:r w:rsidR="0047571A">
        <w:rPr>
          <w:rFonts w:eastAsia="Times New Roman"/>
          <w:lang w:bidi="bo-CN"/>
        </w:rPr>
        <w:t>o</w:t>
      </w:r>
      <w:r w:rsidRPr="0042111C">
        <w:rPr>
          <w:rFonts w:eastAsia="Times New Roman"/>
          <w:lang w:bidi="bo-CN"/>
        </w:rPr>
        <w:t>f Buddhist Studies, 2018.</w:t>
      </w:r>
    </w:p>
    <w:p w14:paraId="4FDEEBCC" w14:textId="77777777" w:rsidR="0047571A" w:rsidRPr="0042111C" w:rsidRDefault="0047571A" w:rsidP="00AF4C05">
      <w:pPr>
        <w:ind w:left="480" w:hanging="480"/>
        <w:rPr>
          <w:rFonts w:eastAsia="Times New Roman"/>
          <w:lang w:bidi="bo-CN"/>
        </w:rPr>
      </w:pPr>
    </w:p>
    <w:p w14:paraId="107323DF" w14:textId="35C9F7DF" w:rsidR="0042111C" w:rsidRPr="0042111C" w:rsidRDefault="0042111C" w:rsidP="00AF4C05">
      <w:pPr>
        <w:ind w:left="480" w:hanging="480"/>
        <w:rPr>
          <w:rFonts w:eastAsia="Times New Roman"/>
          <w:lang w:bidi="bo-CN"/>
        </w:rPr>
      </w:pPr>
      <w:r w:rsidRPr="0042111C">
        <w:rPr>
          <w:rFonts w:eastAsia="Times New Roman"/>
          <w:lang w:bidi="bo-CN"/>
        </w:rPr>
        <w:t xml:space="preserve">Nail, Thomas. </w:t>
      </w:r>
      <w:r w:rsidRPr="0042111C">
        <w:rPr>
          <w:rFonts w:eastAsia="Times New Roman"/>
          <w:i/>
          <w:iCs/>
          <w:lang w:bidi="bo-CN"/>
        </w:rPr>
        <w:t>Being and Motion</w:t>
      </w:r>
      <w:r w:rsidRPr="0042111C">
        <w:rPr>
          <w:rFonts w:eastAsia="Times New Roman"/>
          <w:lang w:bidi="bo-CN"/>
        </w:rPr>
        <w:t>. New York, NY, United States of America: Oxford University Press, 2019</w:t>
      </w:r>
      <w:r w:rsidR="0098305C">
        <w:rPr>
          <w:rFonts w:eastAsia="Times New Roman"/>
          <w:lang w:bidi="bo-CN"/>
        </w:rPr>
        <w:t>a</w:t>
      </w:r>
      <w:r w:rsidRPr="0042111C">
        <w:rPr>
          <w:rFonts w:eastAsia="Times New Roman"/>
          <w:lang w:bidi="bo-CN"/>
        </w:rPr>
        <w:t>.</w:t>
      </w:r>
    </w:p>
    <w:p w14:paraId="2C33E227" w14:textId="77777777" w:rsidR="0042111C" w:rsidRP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Theory of the Earth</w:t>
      </w:r>
      <w:r w:rsidRPr="0042111C">
        <w:rPr>
          <w:rFonts w:eastAsia="Times New Roman"/>
          <w:lang w:bidi="bo-CN"/>
        </w:rPr>
        <w:t>. Stanford, California: Stanford University Press, 2021.</w:t>
      </w:r>
    </w:p>
    <w:p w14:paraId="5D77B839" w14:textId="2036F344" w:rsidR="0042111C" w:rsidRP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Theory of the Image</w:t>
      </w:r>
      <w:r w:rsidRPr="0042111C">
        <w:rPr>
          <w:rFonts w:eastAsia="Times New Roman"/>
          <w:lang w:bidi="bo-CN"/>
        </w:rPr>
        <w:t>. New York, NY: Oxford University Press, 2019</w:t>
      </w:r>
      <w:r w:rsidR="0098305C">
        <w:rPr>
          <w:rFonts w:eastAsia="Times New Roman"/>
          <w:lang w:bidi="bo-CN"/>
        </w:rPr>
        <w:t>b</w:t>
      </w:r>
      <w:r w:rsidRPr="0042111C">
        <w:rPr>
          <w:rFonts w:eastAsia="Times New Roman"/>
          <w:lang w:bidi="bo-CN"/>
        </w:rPr>
        <w:t>.</w:t>
      </w:r>
    </w:p>
    <w:p w14:paraId="54E35C8A" w14:textId="4CE1926D" w:rsid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Theory of the Object</w:t>
      </w:r>
      <w:r w:rsidRPr="0042111C">
        <w:rPr>
          <w:rFonts w:eastAsia="Times New Roman"/>
          <w:lang w:bidi="bo-CN"/>
        </w:rPr>
        <w:t>, 2021.</w:t>
      </w:r>
    </w:p>
    <w:p w14:paraId="04BB3B04" w14:textId="77777777" w:rsidR="0047571A" w:rsidRPr="0042111C" w:rsidRDefault="0047571A" w:rsidP="00AF4C05">
      <w:pPr>
        <w:ind w:left="480" w:hanging="480"/>
        <w:rPr>
          <w:rFonts w:eastAsia="Times New Roman"/>
          <w:lang w:bidi="bo-CN"/>
        </w:rPr>
      </w:pPr>
    </w:p>
    <w:p w14:paraId="3162014F" w14:textId="67CF3DB0" w:rsidR="0042111C" w:rsidRDefault="0042111C" w:rsidP="00AF4C05">
      <w:pPr>
        <w:ind w:left="480" w:hanging="480"/>
        <w:rPr>
          <w:rFonts w:eastAsia="Times New Roman"/>
          <w:lang w:bidi="bo-CN"/>
        </w:rPr>
      </w:pPr>
      <w:r w:rsidRPr="0042111C">
        <w:rPr>
          <w:rFonts w:eastAsia="Times New Roman"/>
          <w:lang w:bidi="bo-CN"/>
        </w:rPr>
        <w:t xml:space="preserve">Neumann, Heidi A., and Helmut F. Neumann. “An Early Wall Painting of a Bhaiṣajyaguru Mandala in Western Tibet.” In </w:t>
      </w:r>
      <w:r w:rsidRPr="0042111C">
        <w:rPr>
          <w:rFonts w:eastAsia="Times New Roman"/>
          <w:i/>
          <w:iCs/>
          <w:lang w:bidi="bo-CN"/>
        </w:rPr>
        <w:t>Tibetan Art and Architecture in Context: PIATS 2006 Proceedings of the Eleventh Seminar of the International Association for Tibetan Studies, Königswinter 2006</w:t>
      </w:r>
      <w:r w:rsidRPr="0042111C">
        <w:rPr>
          <w:rFonts w:eastAsia="Times New Roman"/>
          <w:lang w:bidi="bo-CN"/>
        </w:rPr>
        <w:t>, edited by Erberto F. Lo Bue and Christian Luczanits. Beiträge Zur Zentralasienforschung 20. Andiast: International Institute for Tibetan and Buddhist Studies GmbH, 2010.</w:t>
      </w:r>
    </w:p>
    <w:p w14:paraId="147E8638" w14:textId="77777777" w:rsidR="0047571A" w:rsidRPr="0042111C" w:rsidRDefault="0047571A" w:rsidP="00AF4C05">
      <w:pPr>
        <w:ind w:left="480" w:hanging="480"/>
        <w:rPr>
          <w:rFonts w:eastAsia="Times New Roman"/>
          <w:lang w:bidi="bo-CN"/>
        </w:rPr>
      </w:pPr>
    </w:p>
    <w:p w14:paraId="17D9121D" w14:textId="54EFE0CB" w:rsidR="0042111C" w:rsidRDefault="0042111C" w:rsidP="00AF4C05">
      <w:pPr>
        <w:ind w:left="480" w:hanging="480"/>
        <w:rPr>
          <w:rFonts w:eastAsia="Times New Roman"/>
          <w:lang w:bidi="bo-CN"/>
        </w:rPr>
      </w:pPr>
      <w:r w:rsidRPr="0042111C">
        <w:rPr>
          <w:rFonts w:eastAsia="Times New Roman"/>
          <w:lang w:bidi="bo-CN"/>
        </w:rPr>
        <w:t xml:space="preserve">Ngag-dbang-blo-bzang-rgya-mtsho, and Samten Gyaltsen Karmay. </w:t>
      </w:r>
      <w:r w:rsidRPr="0042111C">
        <w:rPr>
          <w:rFonts w:eastAsia="Times New Roman"/>
          <w:i/>
          <w:iCs/>
          <w:lang w:bidi="bo-CN"/>
        </w:rPr>
        <w:t>The Illusive Play: The Autobiography of the Fifth Dalai Lama</w:t>
      </w:r>
      <w:r w:rsidRPr="0042111C">
        <w:rPr>
          <w:rFonts w:eastAsia="Times New Roman"/>
          <w:lang w:bidi="bo-CN"/>
        </w:rPr>
        <w:t>. Chicago: Serindia Publications, 2014.</w:t>
      </w:r>
    </w:p>
    <w:p w14:paraId="118FAC68" w14:textId="77777777" w:rsidR="0047571A" w:rsidRPr="0042111C" w:rsidRDefault="0047571A" w:rsidP="00AF4C05">
      <w:pPr>
        <w:ind w:left="480" w:hanging="480"/>
        <w:rPr>
          <w:rFonts w:eastAsia="Times New Roman"/>
          <w:lang w:bidi="bo-CN"/>
        </w:rPr>
      </w:pPr>
    </w:p>
    <w:p w14:paraId="7D9890EA" w14:textId="58CEF1B2" w:rsidR="0042111C" w:rsidRDefault="0042111C" w:rsidP="00AF4C05">
      <w:pPr>
        <w:ind w:left="480" w:hanging="480"/>
        <w:rPr>
          <w:rFonts w:eastAsia="Times New Roman"/>
          <w:lang w:bidi="bo-CN"/>
        </w:rPr>
      </w:pPr>
      <w:r w:rsidRPr="0042111C">
        <w:rPr>
          <w:rFonts w:eastAsia="Times New Roman"/>
          <w:lang w:bidi="bo-CN"/>
        </w:rPr>
        <w:t xml:space="preserve">Nourse, Benjamin. “Canons in Context: A History of the Tibetan Buddhist Canon in the Eighteenth Century.” University of Virginia, 2014. </w:t>
      </w:r>
    </w:p>
    <w:p w14:paraId="161B29FC" w14:textId="77777777" w:rsidR="0047571A" w:rsidRPr="0042111C" w:rsidRDefault="0047571A" w:rsidP="00AF4C05">
      <w:pPr>
        <w:ind w:left="480" w:hanging="480"/>
        <w:rPr>
          <w:rFonts w:eastAsia="Times New Roman"/>
          <w:lang w:bidi="bo-CN"/>
        </w:rPr>
      </w:pPr>
    </w:p>
    <w:p w14:paraId="60FC4B8E" w14:textId="7C4AFD59" w:rsidR="0042111C" w:rsidRDefault="0042111C" w:rsidP="00AF4C05">
      <w:pPr>
        <w:ind w:left="480" w:hanging="480"/>
        <w:rPr>
          <w:rFonts w:eastAsia="Times New Roman"/>
          <w:lang w:bidi="bo-CN"/>
        </w:rPr>
      </w:pPr>
      <w:r w:rsidRPr="0042111C">
        <w:rPr>
          <w:rFonts w:eastAsia="Times New Roman"/>
          <w:lang w:bidi="bo-CN"/>
        </w:rPr>
        <w:t xml:space="preserve">Nourse, Benjamin J. “Translating the Cult of the Book: Publishing and Performing the Fifth Dalai Lama’s The Wish-Fulfilling King from Lhasa to Beijing.” </w:t>
      </w:r>
      <w:r w:rsidRPr="0042111C">
        <w:rPr>
          <w:rFonts w:eastAsia="Times New Roman"/>
          <w:i/>
          <w:iCs/>
          <w:lang w:bidi="bo-CN"/>
        </w:rPr>
        <w:t>East Asian Publishing and Society</w:t>
      </w:r>
      <w:r w:rsidRPr="0042111C">
        <w:rPr>
          <w:rFonts w:eastAsia="Times New Roman"/>
          <w:lang w:bidi="bo-CN"/>
        </w:rPr>
        <w:t xml:space="preserve"> 11, no. 1 (May 31, 2021): 34–67. </w:t>
      </w:r>
    </w:p>
    <w:p w14:paraId="63E63CFC" w14:textId="77777777" w:rsidR="0047571A" w:rsidRPr="0042111C" w:rsidRDefault="0047571A" w:rsidP="00AF4C05">
      <w:pPr>
        <w:ind w:left="480" w:hanging="480"/>
        <w:rPr>
          <w:rFonts w:eastAsia="Times New Roman"/>
          <w:lang w:bidi="bo-CN"/>
        </w:rPr>
      </w:pPr>
    </w:p>
    <w:p w14:paraId="49EB6BD0" w14:textId="5B31C06F" w:rsidR="0042111C" w:rsidRDefault="0042111C" w:rsidP="00AF4C05">
      <w:pPr>
        <w:ind w:left="480" w:hanging="480"/>
        <w:rPr>
          <w:rFonts w:eastAsia="Times New Roman"/>
          <w:lang w:bidi="bo-CN"/>
        </w:rPr>
      </w:pPr>
      <w:r w:rsidRPr="0042111C">
        <w:rPr>
          <w:rFonts w:eastAsia="Times New Roman"/>
          <w:lang w:bidi="bo-CN"/>
        </w:rPr>
        <w:t xml:space="preserve">Parfionovich, </w:t>
      </w:r>
      <w:r w:rsidR="0047571A">
        <w:rPr>
          <w:rFonts w:eastAsia="Times New Roman"/>
          <w:lang w:bidi="bo-CN"/>
        </w:rPr>
        <w:t>Yuri</w:t>
      </w:r>
      <w:r w:rsidRPr="0042111C">
        <w:rPr>
          <w:rFonts w:eastAsia="Times New Roman"/>
          <w:lang w:bidi="bo-CN"/>
        </w:rPr>
        <w:t xml:space="preserve">, Fernand Meyer, and Gyurme Dorje, eds. </w:t>
      </w:r>
      <w:r w:rsidRPr="0042111C">
        <w:rPr>
          <w:rFonts w:eastAsia="Times New Roman"/>
          <w:i/>
          <w:iCs/>
          <w:lang w:bidi="bo-CN"/>
        </w:rPr>
        <w:t>Tibetan Medical Paintings: Illustrations to the Blue Beryl Treatise of Sangye Gyamtso (1653-1705)</w:t>
      </w:r>
      <w:r w:rsidRPr="0042111C">
        <w:rPr>
          <w:rFonts w:eastAsia="Times New Roman"/>
          <w:lang w:bidi="bo-CN"/>
        </w:rPr>
        <w:t>. New York: H.N. Abrams, Inc, 1992.</w:t>
      </w:r>
    </w:p>
    <w:p w14:paraId="68B261F3" w14:textId="77777777" w:rsidR="0047571A" w:rsidRPr="0042111C" w:rsidRDefault="0047571A" w:rsidP="00AF4C05">
      <w:pPr>
        <w:ind w:left="480" w:hanging="480"/>
        <w:rPr>
          <w:rFonts w:eastAsia="Times New Roman"/>
          <w:lang w:bidi="bo-CN"/>
        </w:rPr>
      </w:pPr>
    </w:p>
    <w:p w14:paraId="6793F39C" w14:textId="1EB043BC" w:rsidR="0042111C" w:rsidRDefault="0042111C" w:rsidP="00AF4C05">
      <w:pPr>
        <w:ind w:left="480" w:hanging="480"/>
        <w:rPr>
          <w:rFonts w:eastAsia="Times New Roman"/>
          <w:lang w:bidi="bo-CN"/>
        </w:rPr>
      </w:pPr>
      <w:r w:rsidRPr="0042111C">
        <w:rPr>
          <w:rFonts w:eastAsia="Times New Roman"/>
          <w:lang w:bidi="bo-CN"/>
        </w:rPr>
        <w:t xml:space="preserve">Parikka, Jussi. </w:t>
      </w:r>
      <w:r w:rsidRPr="0042111C">
        <w:rPr>
          <w:rFonts w:eastAsia="Times New Roman"/>
          <w:i/>
          <w:iCs/>
          <w:lang w:bidi="bo-CN"/>
        </w:rPr>
        <w:t>What Is Media Archaeology?</w:t>
      </w:r>
      <w:r w:rsidRPr="0042111C">
        <w:rPr>
          <w:rFonts w:eastAsia="Times New Roman"/>
          <w:lang w:bidi="bo-CN"/>
        </w:rPr>
        <w:t xml:space="preserve"> Cambridge, UK; Malden, MA: Polity Press, 2012.</w:t>
      </w:r>
    </w:p>
    <w:p w14:paraId="6B233BDE" w14:textId="77777777" w:rsidR="0047571A" w:rsidRPr="0042111C" w:rsidRDefault="0047571A" w:rsidP="00AF4C05">
      <w:pPr>
        <w:ind w:left="480" w:hanging="480"/>
        <w:rPr>
          <w:rFonts w:eastAsia="Times New Roman"/>
          <w:lang w:bidi="bo-CN"/>
        </w:rPr>
      </w:pPr>
    </w:p>
    <w:p w14:paraId="31F59AD6" w14:textId="1144275E" w:rsidR="0042111C" w:rsidRDefault="0042111C" w:rsidP="00AF4C05">
      <w:pPr>
        <w:ind w:left="480" w:hanging="480"/>
        <w:rPr>
          <w:rFonts w:eastAsia="Times New Roman"/>
          <w:lang w:bidi="bo-CN"/>
        </w:rPr>
      </w:pPr>
      <w:r w:rsidRPr="0042111C">
        <w:rPr>
          <w:rFonts w:eastAsia="Times New Roman"/>
          <w:lang w:bidi="bo-CN"/>
        </w:rPr>
        <w:t xml:space="preserve">Rechung Rinpoche, ed. </w:t>
      </w:r>
      <w:r w:rsidRPr="0042111C">
        <w:rPr>
          <w:rFonts w:eastAsia="Times New Roman"/>
          <w:i/>
          <w:iCs/>
          <w:lang w:bidi="bo-CN"/>
        </w:rPr>
        <w:t>Tibetan Medicine: Illustrated in Original Texts</w:t>
      </w:r>
      <w:r w:rsidRPr="0042111C">
        <w:rPr>
          <w:rFonts w:eastAsia="Times New Roman"/>
          <w:lang w:bidi="bo-CN"/>
        </w:rPr>
        <w:t>. Berkeley: University of California Press, 1973.</w:t>
      </w:r>
    </w:p>
    <w:p w14:paraId="7EA6EE2D" w14:textId="77777777" w:rsidR="0047571A" w:rsidRPr="0042111C" w:rsidRDefault="0047571A" w:rsidP="00AF4C05">
      <w:pPr>
        <w:ind w:left="480" w:hanging="480"/>
        <w:rPr>
          <w:rFonts w:eastAsia="Times New Roman"/>
          <w:lang w:bidi="bo-CN"/>
        </w:rPr>
      </w:pPr>
    </w:p>
    <w:p w14:paraId="3641E48D" w14:textId="650C3AEB" w:rsidR="0042111C" w:rsidRDefault="0042111C" w:rsidP="00AF4C05">
      <w:pPr>
        <w:ind w:left="480" w:hanging="480"/>
        <w:rPr>
          <w:rFonts w:eastAsia="Times New Roman"/>
          <w:lang w:bidi="bo-CN"/>
        </w:rPr>
      </w:pPr>
      <w:r w:rsidRPr="0042111C">
        <w:rPr>
          <w:rFonts w:eastAsia="Times New Roman"/>
          <w:lang w:bidi="bo-CN"/>
        </w:rPr>
        <w:t xml:space="preserve">Rhie, Marylin M., Robert A. F. Thurman, and David Paul Jackson. </w:t>
      </w:r>
      <w:r w:rsidRPr="0042111C">
        <w:rPr>
          <w:rFonts w:eastAsia="Times New Roman"/>
          <w:i/>
          <w:iCs/>
          <w:lang w:bidi="bo-CN"/>
        </w:rPr>
        <w:t>Worlds of Transformation: Tibetan Art of Wisdom and Compassion = [Gnas ’gyur Dkyil Zin]</w:t>
      </w:r>
      <w:r w:rsidRPr="0042111C">
        <w:rPr>
          <w:rFonts w:eastAsia="Times New Roman"/>
          <w:lang w:bidi="bo-CN"/>
        </w:rPr>
        <w:t>. New York: Tibet House in association with The Shelley and Donald Rubin Foundation, 1999.</w:t>
      </w:r>
    </w:p>
    <w:p w14:paraId="213D2BE7" w14:textId="77777777" w:rsidR="0047571A" w:rsidRPr="0042111C" w:rsidRDefault="0047571A" w:rsidP="00AF4C05">
      <w:pPr>
        <w:ind w:left="480" w:hanging="480"/>
        <w:rPr>
          <w:rFonts w:eastAsia="Times New Roman"/>
          <w:lang w:bidi="bo-CN"/>
        </w:rPr>
      </w:pPr>
    </w:p>
    <w:p w14:paraId="18E9C2C7" w14:textId="42CA114A" w:rsidR="0042111C" w:rsidRDefault="0042111C" w:rsidP="00AF4C05">
      <w:pPr>
        <w:ind w:left="480" w:hanging="480"/>
        <w:rPr>
          <w:rFonts w:eastAsia="Times New Roman"/>
          <w:lang w:bidi="bo-CN"/>
        </w:rPr>
      </w:pPr>
      <w:r w:rsidRPr="0042111C">
        <w:rPr>
          <w:rFonts w:eastAsia="Times New Roman"/>
          <w:lang w:bidi="bo-CN"/>
        </w:rPr>
        <w:t xml:space="preserve">Rinpoche, L. S. Dagyab. “On the Significance of Tibetan Buddhist Art and Iconography.” In </w:t>
      </w:r>
      <w:r w:rsidRPr="0042111C">
        <w:rPr>
          <w:rFonts w:eastAsia="Times New Roman"/>
          <w:i/>
          <w:iCs/>
          <w:lang w:bidi="bo-CN"/>
        </w:rPr>
        <w:t>Dating Tibetan Art: Essays on the Possibilities and Impossibilities of Chronology from the Lempertz Symposium, Cologne</w:t>
      </w:r>
      <w:r w:rsidRPr="0042111C">
        <w:rPr>
          <w:rFonts w:eastAsia="Times New Roman"/>
          <w:lang w:bidi="bo-CN"/>
        </w:rPr>
        <w:t>, edited by Ingrid Kreide-Damani, 5–14. Contributions to Tibetan Studies, v. 3. Wiesbaden: L. Reichert, 2003.</w:t>
      </w:r>
    </w:p>
    <w:p w14:paraId="5D060B96" w14:textId="77777777" w:rsidR="0047571A" w:rsidRPr="0042111C" w:rsidRDefault="0047571A" w:rsidP="00AF4C05">
      <w:pPr>
        <w:ind w:left="480" w:hanging="480"/>
        <w:rPr>
          <w:rFonts w:eastAsia="Times New Roman"/>
          <w:lang w:bidi="bo-CN"/>
        </w:rPr>
      </w:pPr>
    </w:p>
    <w:p w14:paraId="5AE1FFB1" w14:textId="4BF7732D" w:rsidR="0042111C" w:rsidRDefault="0042111C" w:rsidP="00AF4C05">
      <w:pPr>
        <w:ind w:left="480" w:hanging="480"/>
        <w:rPr>
          <w:rFonts w:eastAsia="Times New Roman"/>
          <w:lang w:bidi="bo-CN"/>
        </w:rPr>
      </w:pPr>
      <w:r w:rsidRPr="0042111C">
        <w:rPr>
          <w:rFonts w:eastAsia="Times New Roman"/>
          <w:lang w:bidi="bo-CN"/>
        </w:rPr>
        <w:t xml:space="preserve">Sangs-rgyas-rgya-mtsho. </w:t>
      </w:r>
      <w:r w:rsidRPr="0042111C">
        <w:rPr>
          <w:rFonts w:eastAsia="Times New Roman"/>
          <w:i/>
          <w:iCs/>
          <w:lang w:bidi="bo-CN"/>
        </w:rPr>
        <w:t>Life of the Fifth Dalai Lama</w:t>
      </w:r>
      <w:r w:rsidRPr="0042111C">
        <w:rPr>
          <w:rFonts w:eastAsia="Times New Roman"/>
          <w:lang w:bidi="bo-CN"/>
        </w:rPr>
        <w:t>. Śata-Piṭaka Series, v. 392. New Delhi: International Academy of Indian Culture and Aditya Prakashan, 1999.</w:t>
      </w:r>
    </w:p>
    <w:p w14:paraId="6F0A5E96" w14:textId="77777777" w:rsidR="0047571A" w:rsidRPr="0042111C" w:rsidRDefault="0047571A" w:rsidP="00AF4C05">
      <w:pPr>
        <w:ind w:left="480" w:hanging="480"/>
        <w:rPr>
          <w:rFonts w:eastAsia="Times New Roman"/>
          <w:lang w:bidi="bo-CN"/>
        </w:rPr>
      </w:pPr>
    </w:p>
    <w:p w14:paraId="2B1B1A5F" w14:textId="35F1D5BC" w:rsidR="0042111C" w:rsidRDefault="0042111C" w:rsidP="00AF4C05">
      <w:pPr>
        <w:ind w:left="480" w:hanging="480"/>
        <w:rPr>
          <w:rFonts w:eastAsia="Times New Roman"/>
          <w:lang w:bidi="bo-CN"/>
        </w:rPr>
      </w:pPr>
      <w:r w:rsidRPr="0042111C">
        <w:rPr>
          <w:rFonts w:eastAsia="Times New Roman"/>
          <w:lang w:bidi="bo-CN"/>
        </w:rPr>
        <w:t xml:space="preserve">Sangs-rgyas-rgya-mtsho, and Gavin Kilty. </w:t>
      </w:r>
      <w:r w:rsidRPr="0042111C">
        <w:rPr>
          <w:rFonts w:eastAsia="Times New Roman"/>
          <w:i/>
          <w:iCs/>
          <w:lang w:bidi="bo-CN"/>
        </w:rPr>
        <w:t>Mirror of Beryl: A Historical Introduction to Tibetan Medicine</w:t>
      </w:r>
      <w:r w:rsidRPr="0042111C">
        <w:rPr>
          <w:rFonts w:eastAsia="Times New Roman"/>
          <w:lang w:bidi="bo-CN"/>
        </w:rPr>
        <w:t>. 1st ed. The Library of Tibetan Classics, v. 28. Boston: Wisdom Publications: In assocation with the Institute of Tibetan Classics, 2010.</w:t>
      </w:r>
    </w:p>
    <w:p w14:paraId="2FDC6A96" w14:textId="77777777" w:rsidR="0047571A" w:rsidRPr="0042111C" w:rsidRDefault="0047571A" w:rsidP="00AF4C05">
      <w:pPr>
        <w:ind w:left="480" w:hanging="480"/>
        <w:rPr>
          <w:rFonts w:eastAsia="Times New Roman"/>
          <w:lang w:bidi="bo-CN"/>
        </w:rPr>
      </w:pPr>
    </w:p>
    <w:p w14:paraId="7A58DD0C" w14:textId="77777777" w:rsidR="0047571A" w:rsidRDefault="0042111C" w:rsidP="00AF4C05">
      <w:pPr>
        <w:ind w:left="480" w:hanging="480"/>
        <w:rPr>
          <w:rFonts w:eastAsia="Times New Roman"/>
          <w:lang w:bidi="bo-CN"/>
        </w:rPr>
      </w:pPr>
      <w:r w:rsidRPr="0042111C">
        <w:rPr>
          <w:rFonts w:eastAsia="Times New Roman"/>
          <w:lang w:bidi="bo-CN"/>
        </w:rPr>
        <w:t xml:space="preserve">Schaeffer, Kurtis R. “Textual Scholarship, Medical Tradition, and Mahāyāna Buddhist Ideals in Tibet.” </w:t>
      </w:r>
      <w:r w:rsidRPr="0042111C">
        <w:rPr>
          <w:rFonts w:eastAsia="Times New Roman"/>
          <w:i/>
          <w:iCs/>
          <w:lang w:bidi="bo-CN"/>
        </w:rPr>
        <w:t>Journal of Indian Philosophy</w:t>
      </w:r>
      <w:r w:rsidRPr="0042111C">
        <w:rPr>
          <w:rFonts w:eastAsia="Times New Roman"/>
          <w:lang w:bidi="bo-CN"/>
        </w:rPr>
        <w:t xml:space="preserve"> 31, no. 5/6 (2003): 621–41. </w:t>
      </w:r>
    </w:p>
    <w:p w14:paraId="347BD23F" w14:textId="07002269" w:rsid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The Culture of the Book in Tibet</w:t>
      </w:r>
      <w:r w:rsidRPr="0042111C">
        <w:rPr>
          <w:rFonts w:eastAsia="Times New Roman"/>
          <w:lang w:bidi="bo-CN"/>
        </w:rPr>
        <w:t>. New York,NY: Columbia Univ. Press, 2014.</w:t>
      </w:r>
    </w:p>
    <w:p w14:paraId="2B34C700" w14:textId="77777777" w:rsidR="0047571A" w:rsidRPr="0042111C" w:rsidRDefault="0047571A" w:rsidP="00AF4C05">
      <w:pPr>
        <w:ind w:left="480" w:hanging="480"/>
        <w:rPr>
          <w:rFonts w:eastAsia="Times New Roman"/>
          <w:lang w:bidi="bo-CN"/>
        </w:rPr>
      </w:pPr>
    </w:p>
    <w:p w14:paraId="0D3D8A2A" w14:textId="77777777" w:rsidR="0042111C" w:rsidRPr="0042111C" w:rsidRDefault="0042111C" w:rsidP="00AF4C05">
      <w:pPr>
        <w:ind w:left="480" w:hanging="480"/>
        <w:rPr>
          <w:rFonts w:eastAsia="Times New Roman"/>
          <w:lang w:bidi="bo-CN"/>
        </w:rPr>
      </w:pPr>
      <w:r w:rsidRPr="0042111C">
        <w:rPr>
          <w:rFonts w:eastAsia="Times New Roman"/>
          <w:lang w:bidi="bo-CN"/>
        </w:rPr>
        <w:t xml:space="preserve">Schaik, Sam van. “Manuscripts and Printing: Tibet.” In </w:t>
      </w:r>
      <w:r w:rsidRPr="0042111C">
        <w:rPr>
          <w:rFonts w:eastAsia="Times New Roman"/>
          <w:i/>
          <w:iCs/>
          <w:lang w:bidi="bo-CN"/>
        </w:rPr>
        <w:t>Brill’s Encyclopedia of Buddhism</w:t>
      </w:r>
      <w:r w:rsidRPr="0042111C">
        <w:rPr>
          <w:rFonts w:eastAsia="Times New Roman"/>
          <w:lang w:bidi="bo-CN"/>
        </w:rPr>
        <w:t>, edited by Jonathan A. Silk, Oskar von Hinüber, and Vincent Eltschinger, 959–67. Handbook of Oriental Studies = Handbuch Der Orientalistik. Section Two, India, volume 29/1. Leiden: Brill, 2015.</w:t>
      </w:r>
    </w:p>
    <w:p w14:paraId="0CEA277B" w14:textId="22C30EF6" w:rsidR="0042111C" w:rsidRDefault="0042111C" w:rsidP="00AF4C05">
      <w:pPr>
        <w:ind w:left="480" w:hanging="480"/>
        <w:rPr>
          <w:rFonts w:eastAsia="Times New Roman"/>
          <w:lang w:bidi="bo-CN"/>
        </w:rPr>
      </w:pPr>
      <w:r w:rsidRPr="0042111C">
        <w:rPr>
          <w:rFonts w:eastAsia="Times New Roman"/>
          <w:lang w:bidi="bo-CN"/>
        </w:rPr>
        <w:t xml:space="preserve">———. “The Uses of Implements Are Different: Reflections on the Functions of Tibetan Manuscripts.” In </w:t>
      </w:r>
      <w:r w:rsidRPr="0042111C">
        <w:rPr>
          <w:rFonts w:eastAsia="Times New Roman"/>
          <w:i/>
          <w:iCs/>
          <w:lang w:bidi="bo-CN"/>
        </w:rPr>
        <w:t>Tibetan Manuscript and Xylograph Traditions: The Written Word and Its Media within the Tibetan Culture Sphere</w:t>
      </w:r>
      <w:r w:rsidRPr="0042111C">
        <w:rPr>
          <w:rFonts w:eastAsia="Times New Roman"/>
          <w:lang w:bidi="bo-CN"/>
        </w:rPr>
        <w:t>, edited by Orna Almogi. Indian and Tibetan Studies 4. Hamburg: Department of Indian and Tibetan Studies, Universität Hamburg, 2016.</w:t>
      </w:r>
    </w:p>
    <w:p w14:paraId="3021C38B" w14:textId="77777777" w:rsidR="0047571A" w:rsidRPr="0042111C" w:rsidRDefault="0047571A" w:rsidP="00AF4C05">
      <w:pPr>
        <w:ind w:left="480" w:hanging="480"/>
        <w:rPr>
          <w:rFonts w:eastAsia="Times New Roman"/>
          <w:lang w:bidi="bo-CN"/>
        </w:rPr>
      </w:pPr>
    </w:p>
    <w:p w14:paraId="1EBE5644" w14:textId="1A576C9D" w:rsidR="0047571A" w:rsidRDefault="0042111C" w:rsidP="00AF4C05">
      <w:pPr>
        <w:ind w:left="480" w:hanging="480"/>
        <w:rPr>
          <w:rFonts w:eastAsia="Times New Roman"/>
          <w:lang w:bidi="bo-CN"/>
        </w:rPr>
      </w:pPr>
      <w:r w:rsidRPr="0042111C">
        <w:rPr>
          <w:rFonts w:eastAsia="Times New Roman"/>
          <w:lang w:bidi="bo-CN"/>
        </w:rPr>
        <w:t xml:space="preserve">Schaik, Sam van. “Towards a Tibetan Palaeography: Developing a Typology of Writing Styles in Early Tibet.” In </w:t>
      </w:r>
      <w:r w:rsidRPr="0042111C">
        <w:rPr>
          <w:rFonts w:eastAsia="Times New Roman"/>
          <w:i/>
          <w:iCs/>
          <w:lang w:bidi="bo-CN"/>
        </w:rPr>
        <w:t>Manuscript Cultures: Mapping the Field</w:t>
      </w:r>
      <w:r w:rsidRPr="0042111C">
        <w:rPr>
          <w:rFonts w:eastAsia="Times New Roman"/>
          <w:lang w:bidi="bo-CN"/>
        </w:rPr>
        <w:t xml:space="preserve">, edited by Jörg Quenzer, Dmitry Bondarev, and Jan-Ulrich Sobisch, 299–338. DE GRUYTER, 2014. </w:t>
      </w:r>
    </w:p>
    <w:p w14:paraId="26EE7098" w14:textId="77777777" w:rsidR="0047571A" w:rsidRDefault="0047571A" w:rsidP="00AF4C05">
      <w:pPr>
        <w:ind w:left="480" w:hanging="480"/>
        <w:rPr>
          <w:rFonts w:eastAsia="Times New Roman"/>
          <w:lang w:bidi="bo-CN"/>
        </w:rPr>
      </w:pPr>
    </w:p>
    <w:p w14:paraId="30D846A5" w14:textId="77777777" w:rsidR="0042111C" w:rsidRPr="0042111C" w:rsidRDefault="0042111C" w:rsidP="00AF4C05">
      <w:pPr>
        <w:ind w:left="480" w:hanging="480"/>
        <w:rPr>
          <w:rFonts w:eastAsia="Times New Roman"/>
          <w:lang w:bidi="bo-CN"/>
        </w:rPr>
      </w:pPr>
      <w:r w:rsidRPr="0042111C">
        <w:rPr>
          <w:rFonts w:eastAsia="Times New Roman"/>
          <w:lang w:bidi="bo-CN"/>
        </w:rPr>
        <w:t xml:space="preserve">Schopen, Gregory. “The Book as a Sacred Object in Private Homes in Early or Medieval India.” In Medieval and Early Modern Devotional Objects in Global Perspective.” In </w:t>
      </w:r>
      <w:r w:rsidRPr="0042111C">
        <w:rPr>
          <w:rFonts w:eastAsia="Times New Roman"/>
          <w:i/>
          <w:iCs/>
          <w:lang w:bidi="bo-CN"/>
        </w:rPr>
        <w:t>Medieval and Early Modern Devotional Objects in Global Perspective: Translations of the Sacred</w:t>
      </w:r>
      <w:r w:rsidRPr="0042111C">
        <w:rPr>
          <w:rFonts w:eastAsia="Times New Roman"/>
          <w:lang w:bidi="bo-CN"/>
        </w:rPr>
        <w:t>, edited by Elizabeth Ann Robertson and Jennifer Jahner, 1st ed., 37–60. The New Middle Ages. New York: Palgrave Macmillan, 2010.</w:t>
      </w:r>
    </w:p>
    <w:p w14:paraId="6790A35D" w14:textId="4CA11ABE" w:rsidR="0047571A" w:rsidRDefault="0042111C" w:rsidP="00AF4C05">
      <w:pPr>
        <w:ind w:left="480" w:hanging="480"/>
        <w:rPr>
          <w:rFonts w:eastAsia="Times New Roman"/>
          <w:lang w:bidi="bo-CN"/>
        </w:rPr>
      </w:pPr>
      <w:r w:rsidRPr="0042111C">
        <w:rPr>
          <w:rFonts w:eastAsia="Times New Roman"/>
          <w:lang w:bidi="bo-CN"/>
        </w:rPr>
        <w:t xml:space="preserve">———. “The Phrase ‘sa Pthivīpradeśaś Caityabhūto Bhavet’ in the Vajracchedikā: Notes on the Cult of the Book in Mahāyāna.” </w:t>
      </w:r>
      <w:r w:rsidRPr="0042111C">
        <w:rPr>
          <w:rFonts w:eastAsia="Times New Roman"/>
          <w:i/>
          <w:iCs/>
          <w:lang w:bidi="bo-CN"/>
        </w:rPr>
        <w:t>Indo-Iranian Journal</w:t>
      </w:r>
      <w:r w:rsidRPr="0042111C">
        <w:rPr>
          <w:rFonts w:eastAsia="Times New Roman"/>
          <w:lang w:bidi="bo-CN"/>
        </w:rPr>
        <w:t xml:space="preserve"> 17, no. 3–4 (1975): 147–81. </w:t>
      </w:r>
    </w:p>
    <w:p w14:paraId="5B8BD1F9" w14:textId="77777777" w:rsidR="0047571A" w:rsidRDefault="0047571A" w:rsidP="00AF4C05">
      <w:pPr>
        <w:ind w:left="480" w:hanging="480"/>
        <w:rPr>
          <w:rFonts w:eastAsia="Times New Roman"/>
          <w:lang w:bidi="bo-CN"/>
        </w:rPr>
      </w:pPr>
    </w:p>
    <w:p w14:paraId="48B06364" w14:textId="152F7C9E" w:rsidR="0042111C" w:rsidRDefault="0042111C" w:rsidP="00AF4C05">
      <w:pPr>
        <w:ind w:left="480" w:hanging="480"/>
        <w:rPr>
          <w:rFonts w:eastAsia="Times New Roman"/>
          <w:lang w:bidi="bo-CN"/>
        </w:rPr>
      </w:pPr>
      <w:r w:rsidRPr="0042111C">
        <w:rPr>
          <w:rFonts w:eastAsia="Times New Roman"/>
          <w:lang w:bidi="bo-CN"/>
        </w:rPr>
        <w:t xml:space="preserve">Schopen, Gregory Robert. “The Bhaisajyaguru-Sutra and the Buddhism of Gilgit,” 1978, </w:t>
      </w:r>
      <w:r w:rsidR="0047571A">
        <w:rPr>
          <w:rFonts w:eastAsia="Times New Roman"/>
          <w:lang w:bidi="bo-CN"/>
        </w:rPr>
        <w:t>PhD dissertation</w:t>
      </w:r>
      <w:r w:rsidRPr="0042111C">
        <w:rPr>
          <w:rFonts w:eastAsia="Times New Roman"/>
          <w:lang w:bidi="bo-CN"/>
        </w:rPr>
        <w:t xml:space="preserve">. </w:t>
      </w:r>
    </w:p>
    <w:p w14:paraId="7AEEAA42" w14:textId="77777777" w:rsidR="0047571A" w:rsidRPr="0042111C" w:rsidRDefault="0047571A" w:rsidP="00AF4C05">
      <w:pPr>
        <w:ind w:left="480" w:hanging="480"/>
        <w:rPr>
          <w:rFonts w:eastAsia="Times New Roman"/>
          <w:lang w:bidi="bo-CN"/>
        </w:rPr>
      </w:pPr>
    </w:p>
    <w:p w14:paraId="31E1D8B5" w14:textId="31068F67" w:rsidR="0042111C" w:rsidRDefault="0042111C" w:rsidP="00AF4C05">
      <w:pPr>
        <w:ind w:left="480" w:hanging="480"/>
        <w:rPr>
          <w:rFonts w:eastAsia="Times New Roman"/>
          <w:lang w:bidi="bo-CN"/>
        </w:rPr>
      </w:pPr>
      <w:r w:rsidRPr="0042111C">
        <w:rPr>
          <w:rFonts w:eastAsia="Times New Roman"/>
          <w:lang w:bidi="bo-CN"/>
        </w:rPr>
        <w:t xml:space="preserve">Snellgrove, David Llewellyn. </w:t>
      </w:r>
      <w:r w:rsidRPr="0042111C">
        <w:rPr>
          <w:rFonts w:eastAsia="Times New Roman"/>
          <w:i/>
          <w:iCs/>
          <w:lang w:bidi="bo-CN"/>
        </w:rPr>
        <w:t>Indo-Tibetan Buddhism: Indian Buddhists and Their Tibetan Successors</w:t>
      </w:r>
      <w:r w:rsidRPr="0042111C">
        <w:rPr>
          <w:rFonts w:eastAsia="Times New Roman"/>
          <w:lang w:bidi="bo-CN"/>
        </w:rPr>
        <w:t>. Bangkok: Orchid Press, 2004.</w:t>
      </w:r>
    </w:p>
    <w:p w14:paraId="63B82BC5" w14:textId="77777777" w:rsidR="0047571A" w:rsidRPr="0042111C" w:rsidRDefault="0047571A" w:rsidP="00AF4C05">
      <w:pPr>
        <w:ind w:left="480" w:hanging="480"/>
        <w:rPr>
          <w:rFonts w:eastAsia="Times New Roman"/>
          <w:lang w:bidi="bo-CN"/>
        </w:rPr>
      </w:pPr>
    </w:p>
    <w:p w14:paraId="40436861" w14:textId="0F5C9734" w:rsidR="0042111C" w:rsidRDefault="0042111C" w:rsidP="00AF4C05">
      <w:pPr>
        <w:ind w:left="480" w:hanging="480"/>
        <w:rPr>
          <w:rFonts w:eastAsia="Times New Roman"/>
          <w:lang w:bidi="bo-CN"/>
        </w:rPr>
      </w:pPr>
      <w:r w:rsidRPr="0042111C">
        <w:rPr>
          <w:rFonts w:eastAsia="Times New Roman"/>
          <w:lang w:bidi="bo-CN"/>
        </w:rPr>
        <w:t xml:space="preserve">Terrone, Antonio. “The Earth as a Treasure in Tibetan Buddhism: Visionary Revelation and Its Interactions with the Environment.” </w:t>
      </w:r>
      <w:r w:rsidRPr="0042111C">
        <w:rPr>
          <w:rFonts w:eastAsia="Times New Roman"/>
          <w:i/>
          <w:iCs/>
          <w:lang w:bidi="bo-CN"/>
        </w:rPr>
        <w:t>Journal for the Study of Religion, Nature and Culture</w:t>
      </w:r>
      <w:r w:rsidRPr="0042111C">
        <w:rPr>
          <w:rFonts w:eastAsia="Times New Roman"/>
          <w:lang w:bidi="bo-CN"/>
        </w:rPr>
        <w:t xml:space="preserve"> 8, no. 4 (October 28, 2014): 460–82. </w:t>
      </w:r>
    </w:p>
    <w:p w14:paraId="16BDEDE8" w14:textId="77777777" w:rsidR="0047571A" w:rsidRPr="0042111C" w:rsidRDefault="0047571A" w:rsidP="00AF4C05">
      <w:pPr>
        <w:ind w:left="480" w:hanging="480"/>
        <w:rPr>
          <w:rFonts w:eastAsia="Times New Roman"/>
          <w:lang w:bidi="bo-CN"/>
        </w:rPr>
      </w:pPr>
    </w:p>
    <w:p w14:paraId="750815CB" w14:textId="6E216906" w:rsidR="0042111C" w:rsidRDefault="0042111C" w:rsidP="00AF4C05">
      <w:pPr>
        <w:ind w:left="480" w:hanging="480"/>
        <w:rPr>
          <w:rFonts w:eastAsia="Times New Roman"/>
          <w:lang w:bidi="bo-CN"/>
        </w:rPr>
      </w:pPr>
      <w:r w:rsidRPr="0042111C">
        <w:rPr>
          <w:rFonts w:eastAsia="Times New Roman"/>
          <w:lang w:bidi="bo-CN"/>
        </w:rPr>
        <w:t xml:space="preserve">Thondup, Tulku, and Harold Talbott. </w:t>
      </w:r>
      <w:r w:rsidRPr="0042111C">
        <w:rPr>
          <w:rFonts w:eastAsia="Times New Roman"/>
          <w:i/>
          <w:iCs/>
          <w:lang w:bidi="bo-CN"/>
        </w:rPr>
        <w:t>Hidden Teachings of Tibet: An Explanation of the Terma Tradition of Tibetan Buddhism</w:t>
      </w:r>
      <w:r w:rsidRPr="0042111C">
        <w:rPr>
          <w:rFonts w:eastAsia="Times New Roman"/>
          <w:lang w:bidi="bo-CN"/>
        </w:rPr>
        <w:t>. Boston: Wisdom Publications, 1997.</w:t>
      </w:r>
    </w:p>
    <w:p w14:paraId="12C701CB" w14:textId="77777777" w:rsidR="0047571A" w:rsidRPr="0042111C" w:rsidRDefault="0047571A" w:rsidP="00AF4C05">
      <w:pPr>
        <w:ind w:left="480" w:hanging="480"/>
        <w:rPr>
          <w:rFonts w:eastAsia="Times New Roman"/>
          <w:lang w:bidi="bo-CN"/>
        </w:rPr>
      </w:pPr>
    </w:p>
    <w:p w14:paraId="523914AA" w14:textId="779C90E6" w:rsidR="0042111C" w:rsidRDefault="0042111C" w:rsidP="00AF4C05">
      <w:pPr>
        <w:ind w:left="480" w:hanging="480"/>
        <w:rPr>
          <w:rFonts w:eastAsia="Times New Roman"/>
          <w:lang w:bidi="bo-CN"/>
        </w:rPr>
      </w:pPr>
      <w:r w:rsidRPr="0042111C">
        <w:rPr>
          <w:rFonts w:eastAsia="Times New Roman"/>
          <w:lang w:bidi="bo-CN"/>
        </w:rPr>
        <w:t xml:space="preserve">Todd, Fenner. “The Origin of the RGyud Bzhi: A Tibetan Medical Tantra.” In </w:t>
      </w:r>
      <w:r w:rsidRPr="0042111C">
        <w:rPr>
          <w:rFonts w:eastAsia="Times New Roman"/>
          <w:i/>
          <w:iCs/>
          <w:lang w:bidi="bo-CN"/>
        </w:rPr>
        <w:t>Tibetan Literature: Studies in Genre</w:t>
      </w:r>
      <w:r w:rsidRPr="0042111C">
        <w:rPr>
          <w:rFonts w:eastAsia="Times New Roman"/>
          <w:lang w:bidi="bo-CN"/>
        </w:rPr>
        <w:t>, edited by Lhundup Sopa, José Ignacio Cabezón, and Roger R. Jackson, 1st ed. USA., 458–69. Studies in Indo-Tibetan Buddhism. Ithaca, N.Y: Snow Lion, 1996.</w:t>
      </w:r>
    </w:p>
    <w:p w14:paraId="4C6FC4AF" w14:textId="77777777" w:rsidR="0047571A" w:rsidRPr="0042111C" w:rsidRDefault="0047571A" w:rsidP="00AF4C05">
      <w:pPr>
        <w:ind w:left="480" w:hanging="480"/>
        <w:rPr>
          <w:rFonts w:eastAsia="Times New Roman"/>
          <w:lang w:bidi="bo-CN"/>
        </w:rPr>
      </w:pPr>
    </w:p>
    <w:p w14:paraId="72DAAAC7" w14:textId="76D95499" w:rsidR="0042111C" w:rsidRDefault="0042111C" w:rsidP="00AF4C05">
      <w:pPr>
        <w:ind w:left="480" w:hanging="480"/>
        <w:rPr>
          <w:rFonts w:eastAsia="Times New Roman"/>
          <w:lang w:bidi="bo-CN"/>
        </w:rPr>
      </w:pPr>
      <w:r w:rsidRPr="0042111C">
        <w:rPr>
          <w:rFonts w:eastAsia="Times New Roman"/>
          <w:lang w:bidi="bo-CN"/>
        </w:rPr>
        <w:t xml:space="preserve">Townsend, Dominique. </w:t>
      </w:r>
      <w:r w:rsidRPr="0042111C">
        <w:rPr>
          <w:rFonts w:eastAsia="Times New Roman"/>
          <w:i/>
          <w:iCs/>
          <w:lang w:bidi="bo-CN"/>
        </w:rPr>
        <w:t>A Buddhist Sensibility: Aesthetic Education at Tibet’s Mindröling Monastery</w:t>
      </w:r>
      <w:r w:rsidRPr="0042111C">
        <w:rPr>
          <w:rFonts w:eastAsia="Times New Roman"/>
          <w:lang w:bidi="bo-CN"/>
        </w:rPr>
        <w:t>. Studies of the Weatherhead East Asian Institute, Columbia University. New York: Columbia University Press, 2021.</w:t>
      </w:r>
    </w:p>
    <w:p w14:paraId="0A8F686C" w14:textId="77777777" w:rsidR="0047571A" w:rsidRPr="0042111C" w:rsidRDefault="0047571A" w:rsidP="00AF4C05">
      <w:pPr>
        <w:ind w:left="480" w:hanging="480"/>
        <w:rPr>
          <w:rFonts w:eastAsia="Times New Roman"/>
          <w:lang w:bidi="bo-CN"/>
        </w:rPr>
      </w:pPr>
    </w:p>
    <w:p w14:paraId="49D67925" w14:textId="3AA5AE02" w:rsidR="0042111C" w:rsidRDefault="0042111C" w:rsidP="00AF4C05">
      <w:pPr>
        <w:ind w:left="480" w:hanging="480"/>
        <w:rPr>
          <w:rFonts w:eastAsia="Times New Roman"/>
          <w:lang w:bidi="bo-CN"/>
        </w:rPr>
      </w:pPr>
      <w:r w:rsidRPr="0042111C">
        <w:rPr>
          <w:rFonts w:eastAsia="Times New Roman"/>
          <w:lang w:bidi="bo-CN"/>
        </w:rPr>
        <w:t xml:space="preserve">Tsong-kha-pa Blo-bzang-grags-pa. </w:t>
      </w:r>
      <w:r w:rsidRPr="0042111C">
        <w:rPr>
          <w:rFonts w:eastAsia="Times New Roman"/>
          <w:i/>
          <w:iCs/>
          <w:lang w:bidi="bo-CN"/>
        </w:rPr>
        <w:t>The Great Treatise on the Stages of the Path to Enlightenment</w:t>
      </w:r>
      <w:r w:rsidRPr="0042111C">
        <w:rPr>
          <w:rFonts w:eastAsia="Times New Roman"/>
          <w:lang w:bidi="bo-CN"/>
        </w:rPr>
        <w:t>. Ithaca, N.Y: Snow Lion Publications, 2000.</w:t>
      </w:r>
    </w:p>
    <w:p w14:paraId="0111541A" w14:textId="77777777" w:rsidR="0047571A" w:rsidRPr="0042111C" w:rsidRDefault="0047571A" w:rsidP="00AF4C05">
      <w:pPr>
        <w:ind w:left="480" w:hanging="480"/>
        <w:rPr>
          <w:rFonts w:eastAsia="Times New Roman"/>
          <w:lang w:bidi="bo-CN"/>
        </w:rPr>
      </w:pPr>
    </w:p>
    <w:p w14:paraId="43F26D2A" w14:textId="000D88F9" w:rsidR="0042111C" w:rsidRDefault="0042111C" w:rsidP="00AF4C05">
      <w:pPr>
        <w:ind w:left="480" w:hanging="480"/>
        <w:rPr>
          <w:rFonts w:eastAsia="Times New Roman"/>
          <w:lang w:bidi="bo-CN"/>
        </w:rPr>
      </w:pPr>
      <w:r w:rsidRPr="0042111C">
        <w:rPr>
          <w:rFonts w:eastAsia="Times New Roman"/>
          <w:lang w:bidi="bo-CN"/>
        </w:rPr>
        <w:t>Tsong-kha-pa Blo-bzang-grags-pa, Joshua W. C. Cutler, and Guy Newland. “The Great Treatise on the Stages of the Path to Enlightenment.” Boston</w:t>
      </w:r>
      <w:r w:rsidR="0047571A">
        <w:rPr>
          <w:rFonts w:eastAsia="Times New Roman"/>
          <w:lang w:bidi="bo-CN"/>
        </w:rPr>
        <w:t>;</w:t>
      </w:r>
      <w:r w:rsidRPr="0042111C">
        <w:rPr>
          <w:rFonts w:eastAsia="Times New Roman"/>
          <w:lang w:bidi="bo-CN"/>
        </w:rPr>
        <w:t xml:space="preserve"> London: Snow Lion, 2014.</w:t>
      </w:r>
    </w:p>
    <w:p w14:paraId="35E78A14" w14:textId="77777777" w:rsidR="0047571A" w:rsidRPr="0042111C" w:rsidRDefault="0047571A" w:rsidP="00AF4C05">
      <w:pPr>
        <w:ind w:left="480" w:hanging="480"/>
        <w:rPr>
          <w:rFonts w:eastAsia="Times New Roman"/>
          <w:lang w:bidi="bo-CN"/>
        </w:rPr>
      </w:pPr>
    </w:p>
    <w:p w14:paraId="4652AD3D" w14:textId="224C5D07" w:rsidR="0042111C" w:rsidRDefault="0042111C" w:rsidP="00AF4C05">
      <w:pPr>
        <w:ind w:left="480" w:hanging="480"/>
        <w:rPr>
          <w:rFonts w:eastAsia="Times New Roman"/>
          <w:lang w:bidi="bo-CN"/>
        </w:rPr>
      </w:pPr>
      <w:r w:rsidRPr="0042111C">
        <w:rPr>
          <w:rFonts w:eastAsia="Times New Roman"/>
          <w:lang w:bidi="bo-CN"/>
        </w:rPr>
        <w:t xml:space="preserve">Tsong-kha-pa Blo-bzang-grags-pa, Guy Newland, Joshua W. C Cutler, and Lamrim Chenmo Translation Committee. </w:t>
      </w:r>
      <w:r w:rsidRPr="0042111C">
        <w:rPr>
          <w:rFonts w:eastAsia="Times New Roman"/>
          <w:i/>
          <w:iCs/>
          <w:lang w:bidi="bo-CN"/>
        </w:rPr>
        <w:t>The Great Treatise on the Stages of the Path to Enlightenment</w:t>
      </w:r>
      <w:r w:rsidRPr="0042111C">
        <w:rPr>
          <w:rFonts w:eastAsia="Times New Roman"/>
          <w:lang w:bidi="bo-CN"/>
        </w:rPr>
        <w:t>, 2014.</w:t>
      </w:r>
    </w:p>
    <w:p w14:paraId="6699923A" w14:textId="77777777" w:rsidR="0047571A" w:rsidRPr="0042111C" w:rsidRDefault="0047571A" w:rsidP="00AF4C05">
      <w:pPr>
        <w:ind w:left="480" w:hanging="480"/>
        <w:rPr>
          <w:rFonts w:eastAsia="Times New Roman"/>
          <w:lang w:bidi="bo-CN"/>
        </w:rPr>
      </w:pPr>
    </w:p>
    <w:p w14:paraId="6CCCD3DA" w14:textId="2C8BAF40" w:rsidR="0042111C" w:rsidRDefault="0042111C" w:rsidP="00AF4C05">
      <w:pPr>
        <w:ind w:left="480" w:hanging="480"/>
        <w:rPr>
          <w:rFonts w:eastAsia="Times New Roman"/>
          <w:lang w:bidi="bo-CN"/>
        </w:rPr>
      </w:pPr>
      <w:r w:rsidRPr="0042111C">
        <w:rPr>
          <w:rFonts w:eastAsia="Times New Roman"/>
          <w:lang w:bidi="bo-CN"/>
        </w:rPr>
        <w:t xml:space="preserve">Van Vleet, Stacey. “Medicine as Impartial Knowledge: The Fifth Dalai Lama, the Tsarong School, and Debates of Tibetan Medical Orthodoxy.” In </w:t>
      </w:r>
      <w:r w:rsidRPr="0042111C">
        <w:rPr>
          <w:rFonts w:eastAsia="Times New Roman"/>
          <w:i/>
          <w:iCs/>
          <w:lang w:bidi="bo-CN"/>
        </w:rPr>
        <w:t>The Tenth Karmapa and Tibet’s Turbulent Seventeenth Century</w:t>
      </w:r>
      <w:r w:rsidRPr="0042111C">
        <w:rPr>
          <w:rFonts w:eastAsia="Times New Roman"/>
          <w:lang w:bidi="bo-CN"/>
        </w:rPr>
        <w:t>, edited by Karl Debreczeny and Gray Tuttle, 263–91. Chicago, IL: Serindia Publications, 2016.</w:t>
      </w:r>
    </w:p>
    <w:p w14:paraId="05CEE2E6" w14:textId="77777777" w:rsidR="0047571A" w:rsidRPr="0042111C" w:rsidRDefault="0047571A" w:rsidP="00AF4C05">
      <w:pPr>
        <w:ind w:left="480" w:hanging="480"/>
        <w:rPr>
          <w:rFonts w:eastAsia="Times New Roman"/>
          <w:lang w:bidi="bo-CN"/>
        </w:rPr>
      </w:pPr>
    </w:p>
    <w:p w14:paraId="67B3805E" w14:textId="6C507E5F" w:rsidR="0047571A" w:rsidRPr="0042111C" w:rsidRDefault="0042111C" w:rsidP="00AF4C05">
      <w:pPr>
        <w:ind w:left="480" w:hanging="480"/>
        <w:rPr>
          <w:rFonts w:eastAsia="Times New Roman"/>
          <w:lang w:bidi="bo-CN"/>
        </w:rPr>
      </w:pPr>
      <w:r w:rsidRPr="0042111C">
        <w:rPr>
          <w:rFonts w:eastAsia="Times New Roman"/>
          <w:lang w:bidi="bo-CN"/>
        </w:rPr>
        <w:t xml:space="preserve">Westerhoff, Jan. </w:t>
      </w:r>
      <w:r w:rsidRPr="0042111C">
        <w:rPr>
          <w:rFonts w:eastAsia="Times New Roman"/>
          <w:i/>
          <w:iCs/>
          <w:lang w:bidi="bo-CN"/>
        </w:rPr>
        <w:t>Nāgārjuna’s Madhyamaka: A Philosophical Introduction</w:t>
      </w:r>
      <w:r w:rsidRPr="0042111C">
        <w:rPr>
          <w:rFonts w:eastAsia="Times New Roman"/>
          <w:lang w:bidi="bo-CN"/>
        </w:rPr>
        <w:t>. Oxford ; New York: Oxford University Press, 2009.</w:t>
      </w:r>
    </w:p>
    <w:p w14:paraId="4ED6FC77" w14:textId="670CF5C0" w:rsidR="0042111C" w:rsidRDefault="0042111C" w:rsidP="00AF4C05">
      <w:pPr>
        <w:ind w:left="480" w:hanging="480"/>
        <w:rPr>
          <w:rFonts w:eastAsia="Times New Roman"/>
          <w:lang w:bidi="bo-CN"/>
        </w:rPr>
      </w:pPr>
      <w:r w:rsidRPr="0042111C">
        <w:rPr>
          <w:rFonts w:eastAsia="Times New Roman"/>
          <w:lang w:bidi="bo-CN"/>
        </w:rPr>
        <w:t xml:space="preserve">———. </w:t>
      </w:r>
      <w:r w:rsidRPr="0042111C">
        <w:rPr>
          <w:rFonts w:eastAsia="Times New Roman"/>
          <w:i/>
          <w:iCs/>
          <w:lang w:bidi="bo-CN"/>
        </w:rPr>
        <w:t>The Golden Age of Indian Buddhist Philosophy</w:t>
      </w:r>
      <w:r w:rsidRPr="0042111C">
        <w:rPr>
          <w:rFonts w:eastAsia="Times New Roman"/>
          <w:lang w:bidi="bo-CN"/>
        </w:rPr>
        <w:t>. First edition. The Oxford History of Philosophy. Oxford: Oxford University Press, 2018.</w:t>
      </w:r>
    </w:p>
    <w:p w14:paraId="773CAEAC" w14:textId="77777777" w:rsidR="0047571A" w:rsidRPr="0042111C" w:rsidRDefault="0047571A" w:rsidP="00AF4C05">
      <w:pPr>
        <w:ind w:left="480" w:hanging="480"/>
        <w:rPr>
          <w:rFonts w:eastAsia="Times New Roman"/>
          <w:lang w:bidi="bo-CN"/>
        </w:rPr>
      </w:pPr>
    </w:p>
    <w:p w14:paraId="28A04616" w14:textId="6E05FA36" w:rsidR="0042111C" w:rsidRPr="0042111C" w:rsidRDefault="0042111C" w:rsidP="00AF4C05">
      <w:pPr>
        <w:ind w:left="480" w:hanging="480"/>
        <w:rPr>
          <w:rFonts w:eastAsia="Times New Roman"/>
          <w:lang w:bidi="bo-CN"/>
        </w:rPr>
      </w:pPr>
      <w:r w:rsidRPr="0042111C">
        <w:rPr>
          <w:rFonts w:eastAsia="Times New Roman"/>
          <w:lang w:bidi="bo-CN"/>
        </w:rPr>
        <w:t xml:space="preserve">Young, Serinity. “The Buddhist Discourse on Gender in Tibetan Medical Iconography.” In </w:t>
      </w:r>
      <w:r w:rsidRPr="0042111C">
        <w:rPr>
          <w:rFonts w:eastAsia="Times New Roman"/>
          <w:i/>
          <w:iCs/>
          <w:lang w:bidi="bo-CN"/>
        </w:rPr>
        <w:t>Proceedings of the Tenth Seminar of the IATS, 2003. Volume 13: Art in Tibet: Issues in Traditional Tibetan Art from the Seventh to the Twentieth Century</w:t>
      </w:r>
      <w:r w:rsidRPr="0042111C">
        <w:rPr>
          <w:rFonts w:eastAsia="Times New Roman"/>
          <w:lang w:bidi="bo-CN"/>
        </w:rPr>
        <w:t xml:space="preserve">, edited by Erberto Lo Bue, 203–12. BRILL, 2011. </w:t>
      </w:r>
    </w:p>
    <w:p w14:paraId="7BF7FD4F" w14:textId="6031585F" w:rsidR="00F4229F" w:rsidRPr="00F4229F" w:rsidRDefault="00F4229F" w:rsidP="00C158DD">
      <w:pPr>
        <w:pStyle w:val="Heading1"/>
      </w:pPr>
    </w:p>
    <w:sectPr w:rsidR="00F4229F" w:rsidRPr="00F4229F" w:rsidSect="00AF4C05">
      <w:headerReference w:type="default" r:id="rId11"/>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0F0C" w14:textId="77777777" w:rsidR="00DD06D1" w:rsidRDefault="00DD06D1" w:rsidP="0049047F">
      <w:r>
        <w:separator/>
      </w:r>
    </w:p>
  </w:endnote>
  <w:endnote w:type="continuationSeparator" w:id="0">
    <w:p w14:paraId="127060AC" w14:textId="77777777" w:rsidR="00DD06D1" w:rsidRDefault="00DD06D1" w:rsidP="0049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3362572"/>
      <w:docPartObj>
        <w:docPartGallery w:val="Page Numbers (Bottom of Page)"/>
        <w:docPartUnique/>
      </w:docPartObj>
    </w:sdtPr>
    <w:sdtEndPr>
      <w:rPr>
        <w:rStyle w:val="PageNumber"/>
      </w:rPr>
    </w:sdtEndPr>
    <w:sdtContent>
      <w:p w14:paraId="61077341" w14:textId="486C1A97" w:rsidR="00836D0A" w:rsidRDefault="00836D0A" w:rsidP="00836D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4F4499" w14:textId="77777777" w:rsidR="00836D0A" w:rsidRDefault="00836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1874710"/>
      <w:docPartObj>
        <w:docPartGallery w:val="Page Numbers (Bottom of Page)"/>
        <w:docPartUnique/>
      </w:docPartObj>
    </w:sdtPr>
    <w:sdtEndPr>
      <w:rPr>
        <w:rStyle w:val="PageNumber"/>
      </w:rPr>
    </w:sdtEndPr>
    <w:sdtContent>
      <w:p w14:paraId="0A1C74E7" w14:textId="5E3FCE7C" w:rsidR="00836D0A" w:rsidRDefault="00836D0A" w:rsidP="00836D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AAD0E3" w14:textId="77777777" w:rsidR="00836D0A" w:rsidRDefault="00836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9D1F" w14:textId="77777777" w:rsidR="00DD06D1" w:rsidRDefault="00DD06D1" w:rsidP="0049047F">
      <w:r>
        <w:separator/>
      </w:r>
    </w:p>
  </w:footnote>
  <w:footnote w:type="continuationSeparator" w:id="0">
    <w:p w14:paraId="0B8119D6" w14:textId="77777777" w:rsidR="00DD06D1" w:rsidRDefault="00DD06D1" w:rsidP="0049047F">
      <w:r>
        <w:continuationSeparator/>
      </w:r>
    </w:p>
  </w:footnote>
  <w:footnote w:id="1">
    <w:p w14:paraId="2750C2A8" w14:textId="5FBE81E3" w:rsidR="00D110C3" w:rsidRDefault="00D110C3" w:rsidP="00D110C3">
      <w:pPr>
        <w:pStyle w:val="FootnoteText"/>
        <w:ind w:firstLine="720"/>
      </w:pPr>
      <w:r>
        <w:rPr>
          <w:rStyle w:val="FootnoteReference"/>
        </w:rPr>
        <w:footnoteRef/>
      </w:r>
      <w:r>
        <w:t xml:space="preserve"> Th</w:t>
      </w:r>
      <w:r w:rsidR="008C2285">
        <w:t>e</w:t>
      </w:r>
      <w:r>
        <w:t xml:space="preserve"> </w:t>
      </w:r>
      <w:r w:rsidR="0083503E">
        <w:t>provenance</w:t>
      </w:r>
      <w:r w:rsidR="008C2285">
        <w:t xml:space="preserve"> of this </w:t>
      </w:r>
      <w:r>
        <w:t>Medicine Buddha Mandala</w:t>
      </w:r>
      <w:r w:rsidR="008C2285">
        <w:t>, as with some many other Tibetan images</w:t>
      </w:r>
      <w:r w:rsidR="00C2569E">
        <w:t xml:space="preserve"> and object</w:t>
      </w:r>
      <w:r w:rsidR="0083503E">
        <w:t>s</w:t>
      </w:r>
      <w:r w:rsidR="008C2285">
        <w:t>, is indeterminate and</w:t>
      </w:r>
      <w:r>
        <w:t xml:space="preserve"> </w:t>
      </w:r>
      <w:r w:rsidR="008C2285">
        <w:t xml:space="preserve">was </w:t>
      </w:r>
      <w:r w:rsidR="005D152A">
        <w:t>probably</w:t>
      </w:r>
      <w:r>
        <w:t xml:space="preserve"> sold under duress</w:t>
      </w:r>
      <w:r w:rsidR="00C2569E">
        <w:t xml:space="preserve"> by Tibetans fleeing the Cultural Revolution</w:t>
      </w:r>
      <w:r w:rsidR="008C2285">
        <w:t xml:space="preserve">. While the Rubin Museum of Art provides as much transparency as possible for </w:t>
      </w:r>
      <w:r w:rsidR="00C2569E">
        <w:t>the</w:t>
      </w:r>
      <w:r w:rsidR="008C2285">
        <w:t xml:space="preserve"> image</w:t>
      </w:r>
      <w:r w:rsidR="00C2569E">
        <w:t xml:space="preserve">, its very existence in the museum expresses an American institution benefiting from </w:t>
      </w:r>
      <w:r w:rsidR="0083503E">
        <w:t>devastated</w:t>
      </w:r>
      <w:r w:rsidR="00C2569E">
        <w:t xml:space="preserve"> Tibetans and a politically fraught power-asymmetry</w:t>
      </w:r>
      <w:r w:rsidR="0083503E">
        <w:t xml:space="preserve"> between Tibet and China</w:t>
      </w:r>
      <w:r w:rsidR="00C2569E">
        <w:t xml:space="preserve">. </w:t>
      </w:r>
      <w:r w:rsidR="005D152A">
        <w:t xml:space="preserve">Although it does not resolve these and other moral issues, the current Fourteenth Dalai Lama, Tenzin Gyatso, has express his wishes for institutions like the Rubin to safeguard Tibetan heritage. </w:t>
      </w:r>
      <w:r>
        <w:t xml:space="preserve">Further, these </w:t>
      </w:r>
      <w:r w:rsidR="008C2285">
        <w:t>tantric types of</w:t>
      </w:r>
      <w:r w:rsidR="00970FDE">
        <w:t xml:space="preserve"> images </w:t>
      </w:r>
      <w:r>
        <w:t>were (</w:t>
      </w:r>
      <w:r w:rsidRPr="00D110C3">
        <w:rPr>
          <w:i/>
          <w:iCs/>
        </w:rPr>
        <w:t>are</w:t>
      </w:r>
      <w:r>
        <w:t>) not meant to be seen</w:t>
      </w:r>
      <w:r w:rsidR="00970FDE">
        <w:t xml:space="preserve"> by lay people</w:t>
      </w:r>
      <w:r w:rsidR="00C2569E">
        <w:t>. Th</w:t>
      </w:r>
      <w:r w:rsidR="0083503E">
        <w:t xml:space="preserve">e </w:t>
      </w:r>
      <w:r w:rsidR="00C2569E">
        <w:t>image, then, is stripped from its</w:t>
      </w:r>
      <w:r w:rsidR="0083503E">
        <w:t xml:space="preserve"> religious and cultural specificity and recontextualized </w:t>
      </w:r>
      <w:r w:rsidR="005D152A">
        <w:t>at</w:t>
      </w:r>
      <w:r w:rsidR="0083503E">
        <w:t xml:space="preserve"> the Rubin. </w:t>
      </w:r>
    </w:p>
  </w:footnote>
  <w:footnote w:id="2">
    <w:p w14:paraId="4187BAFD" w14:textId="74D6C709" w:rsidR="00836D0A" w:rsidRPr="003D79F0" w:rsidRDefault="00836D0A" w:rsidP="00CC72ED">
      <w:pPr>
        <w:pStyle w:val="FootnoteText"/>
        <w:ind w:firstLine="720"/>
        <w:rPr>
          <w:sz w:val="22"/>
          <w:szCs w:val="22"/>
        </w:rPr>
      </w:pPr>
      <w:r w:rsidRPr="003D79F0">
        <w:rPr>
          <w:rStyle w:val="FootnoteReference"/>
          <w:sz w:val="22"/>
          <w:szCs w:val="22"/>
        </w:rPr>
        <w:footnoteRef/>
      </w:r>
      <w:r w:rsidRPr="003D79F0">
        <w:rPr>
          <w:sz w:val="22"/>
          <w:szCs w:val="22"/>
        </w:rPr>
        <w:t xml:space="preserve"> “And the Lord said to Ānanda: Ānanda, it may be that you will think: ‘The Teacher’s instruction has ceased, now we have no teacher!’ It should not be seen like this, Ānanda, for what I have taught and explained to you as Dhamma and discipline will, at my passing, be your teacher” (DN 16: 269-271).</w:t>
      </w:r>
    </w:p>
  </w:footnote>
  <w:footnote w:id="3">
    <w:p w14:paraId="62B7FEB6" w14:textId="05564044" w:rsidR="00836D0A" w:rsidRPr="003D79F0" w:rsidRDefault="00836D0A" w:rsidP="003D79F0">
      <w:pPr>
        <w:ind w:firstLine="720"/>
        <w:rPr>
          <w:sz w:val="22"/>
          <w:szCs w:val="22"/>
        </w:rPr>
      </w:pPr>
      <w:r w:rsidRPr="003D79F0">
        <w:rPr>
          <w:rStyle w:val="FootnoteReference"/>
          <w:sz w:val="22"/>
          <w:szCs w:val="22"/>
        </w:rPr>
        <w:footnoteRef/>
      </w:r>
      <w:r w:rsidRPr="003D79F0">
        <w:rPr>
          <w:sz w:val="22"/>
          <w:szCs w:val="22"/>
        </w:rPr>
        <w:t xml:space="preserve"> </w:t>
      </w:r>
      <w:r w:rsidRPr="003D79F0">
        <w:rPr>
          <w:sz w:val="22"/>
          <w:szCs w:val="22"/>
          <w:lang w:bidi="bo-CN"/>
        </w:rPr>
        <w:t>dge slong dag sus rten cing 'brel bar 'byung ba mthong ba des chos mthong ngo |</w:t>
      </w:r>
      <w:r>
        <w:rPr>
          <w:sz w:val="22"/>
          <w:szCs w:val="22"/>
          <w:lang w:bidi="bo-CN"/>
        </w:rPr>
        <w:t xml:space="preserve"> </w:t>
      </w:r>
      <w:r w:rsidRPr="003D79F0">
        <w:rPr>
          <w:sz w:val="22"/>
          <w:szCs w:val="22"/>
          <w:lang w:bidi="bo-CN"/>
        </w:rPr>
        <w:t>sus chos mthong ba des sangs rgyas mthong ngo zhes de skad bka' stsal nas (</w:t>
      </w:r>
      <w:r w:rsidRPr="003D79F0">
        <w:rPr>
          <w:color w:val="000000"/>
          <w:sz w:val="22"/>
          <w:szCs w:val="22"/>
          <w:shd w:val="clear" w:color="auto" w:fill="FFFFFF"/>
        </w:rPr>
        <w:t>“</w:t>
      </w:r>
      <w:r>
        <w:rPr>
          <w:color w:val="000000"/>
          <w:sz w:val="22"/>
          <w:szCs w:val="22"/>
          <w:shd w:val="clear" w:color="auto" w:fill="FFFFFF"/>
        </w:rPr>
        <w:t>s</w:t>
      </w:r>
      <w:r w:rsidRPr="003D79F0">
        <w:rPr>
          <w:color w:val="000000"/>
          <w:sz w:val="22"/>
          <w:szCs w:val="22"/>
          <w:shd w:val="clear" w:color="auto" w:fill="FFFFFF"/>
        </w:rPr>
        <w:t>a luʼi ljang paʼi mdo.”</w:t>
      </w:r>
      <w:r w:rsidRPr="003D79F0">
        <w:rPr>
          <w:rStyle w:val="apple-converted-space"/>
          <w:color w:val="000000"/>
          <w:sz w:val="22"/>
          <w:szCs w:val="22"/>
          <w:shd w:val="clear" w:color="auto" w:fill="FFFFFF"/>
        </w:rPr>
        <w:t> </w:t>
      </w:r>
      <w:r w:rsidRPr="003D79F0">
        <w:rPr>
          <w:i/>
          <w:iCs/>
          <w:color w:val="000000"/>
          <w:sz w:val="22"/>
          <w:szCs w:val="22"/>
        </w:rPr>
        <w:t>b</w:t>
      </w:r>
      <w:r>
        <w:rPr>
          <w:i/>
          <w:iCs/>
          <w:color w:val="000000"/>
          <w:sz w:val="22"/>
          <w:szCs w:val="22"/>
        </w:rPr>
        <w:t>k</w:t>
      </w:r>
      <w:r w:rsidRPr="003D79F0">
        <w:rPr>
          <w:i/>
          <w:iCs/>
          <w:color w:val="000000"/>
          <w:sz w:val="22"/>
          <w:szCs w:val="22"/>
        </w:rPr>
        <w:t xml:space="preserve">aʼ ʼgyur </w:t>
      </w:r>
      <w:r w:rsidRPr="003D79F0">
        <w:rPr>
          <w:color w:val="000000"/>
          <w:sz w:val="22"/>
          <w:szCs w:val="22"/>
        </w:rPr>
        <w:t>(</w:t>
      </w:r>
      <w:r w:rsidRPr="003D79F0">
        <w:rPr>
          <w:i/>
          <w:iCs/>
          <w:color w:val="000000"/>
          <w:sz w:val="22"/>
          <w:szCs w:val="22"/>
        </w:rPr>
        <w:t>snar thang</w:t>
      </w:r>
      <w:r w:rsidRPr="003D79F0">
        <w:rPr>
          <w:color w:val="000000"/>
          <w:sz w:val="22"/>
          <w:szCs w:val="22"/>
        </w:rPr>
        <w:t>)</w:t>
      </w:r>
      <w:r w:rsidRPr="003D79F0">
        <w:rPr>
          <w:color w:val="000000"/>
          <w:sz w:val="22"/>
          <w:szCs w:val="22"/>
          <w:shd w:val="clear" w:color="auto" w:fill="FFFFFF"/>
        </w:rPr>
        <w:t xml:space="preserve">, vol. 62, Yeshe De Dharma Publications, 2009, </w:t>
      </w:r>
      <w:r w:rsidRPr="003D79F0">
        <w:rPr>
          <w:sz w:val="22"/>
          <w:szCs w:val="22"/>
          <w:lang w:bidi="bo-CN"/>
        </w:rPr>
        <w:t>381</w:t>
      </w:r>
      <w:r>
        <w:rPr>
          <w:sz w:val="22"/>
          <w:szCs w:val="22"/>
          <w:lang w:bidi="bo-CN"/>
        </w:rPr>
        <w:t>).</w:t>
      </w:r>
    </w:p>
  </w:footnote>
  <w:footnote w:id="4">
    <w:p w14:paraId="27E92F5E" w14:textId="53DC95CA" w:rsidR="00836D0A" w:rsidRPr="003D79F0" w:rsidRDefault="00836D0A" w:rsidP="003D79F0">
      <w:pPr>
        <w:pStyle w:val="FootnoteText"/>
        <w:ind w:firstLine="720"/>
        <w:rPr>
          <w:sz w:val="22"/>
          <w:szCs w:val="22"/>
        </w:rPr>
      </w:pPr>
      <w:r w:rsidRPr="003D79F0">
        <w:rPr>
          <w:rStyle w:val="FootnoteReference"/>
          <w:sz w:val="22"/>
          <w:szCs w:val="22"/>
        </w:rPr>
        <w:footnoteRef/>
      </w:r>
      <w:r w:rsidRPr="003D79F0">
        <w:rPr>
          <w:sz w:val="22"/>
          <w:szCs w:val="22"/>
        </w:rPr>
        <w:t xml:space="preserve"> Bentor, “Literature of Consecration (</w:t>
      </w:r>
      <w:r w:rsidRPr="003D79F0">
        <w:rPr>
          <w:i/>
          <w:iCs/>
          <w:sz w:val="22"/>
          <w:szCs w:val="22"/>
        </w:rPr>
        <w:t>Rap gnas</w:t>
      </w:r>
      <w:r w:rsidRPr="003D79F0">
        <w:rPr>
          <w:sz w:val="22"/>
          <w:szCs w:val="22"/>
        </w:rPr>
        <w:t xml:space="preserve">),” 292. </w:t>
      </w:r>
    </w:p>
  </w:footnote>
  <w:footnote w:id="5">
    <w:p w14:paraId="635DD0E4" w14:textId="5D21A941" w:rsidR="002F5D42" w:rsidRDefault="002F5D42" w:rsidP="002F5D42">
      <w:pPr>
        <w:pStyle w:val="FootnoteText"/>
        <w:ind w:firstLine="720"/>
      </w:pPr>
      <w:r w:rsidRPr="00242967">
        <w:rPr>
          <w:rStyle w:val="FootnoteReference"/>
          <w:sz w:val="21"/>
          <w:szCs w:val="21"/>
        </w:rPr>
        <w:footnoteRef/>
      </w:r>
      <w:r w:rsidRPr="00242967">
        <w:rPr>
          <w:sz w:val="21"/>
          <w:szCs w:val="21"/>
        </w:rPr>
        <w:t xml:space="preserve"> </w:t>
      </w:r>
      <w:r w:rsidR="00814967">
        <w:rPr>
          <w:sz w:val="21"/>
          <w:szCs w:val="21"/>
        </w:rPr>
        <w:t>See</w:t>
      </w:r>
      <w:r w:rsidR="00242967" w:rsidRPr="00242967">
        <w:rPr>
          <w:sz w:val="21"/>
          <w:szCs w:val="21"/>
        </w:rPr>
        <w:t xml:space="preserve"> the Medicine Buddha </w:t>
      </w:r>
      <w:r w:rsidR="0078623C">
        <w:rPr>
          <w:sz w:val="21"/>
          <w:szCs w:val="21"/>
        </w:rPr>
        <w:t>M</w:t>
      </w:r>
      <w:r w:rsidR="00242967" w:rsidRPr="00242967">
        <w:rPr>
          <w:sz w:val="21"/>
          <w:szCs w:val="21"/>
        </w:rPr>
        <w:t xml:space="preserve">andalas </w:t>
      </w:r>
      <w:r w:rsidR="00814967">
        <w:rPr>
          <w:sz w:val="21"/>
          <w:szCs w:val="21"/>
        </w:rPr>
        <w:t xml:space="preserve">that include texts </w:t>
      </w:r>
      <w:r w:rsidR="00242967">
        <w:rPr>
          <w:sz w:val="21"/>
          <w:szCs w:val="21"/>
        </w:rPr>
        <w:t>collected on Himalayan Art Resources (HAR)</w:t>
      </w:r>
      <w:r w:rsidR="0078623C">
        <w:rPr>
          <w:sz w:val="21"/>
          <w:szCs w:val="21"/>
        </w:rPr>
        <w:t xml:space="preserve">. </w:t>
      </w:r>
      <w:r w:rsidR="0078623C" w:rsidRPr="00814967">
        <w:rPr>
          <w:sz w:val="21"/>
          <w:szCs w:val="21"/>
          <w:highlight w:val="yellow"/>
        </w:rPr>
        <w:t xml:space="preserve">For example, take </w:t>
      </w:r>
      <w:r w:rsidR="00242967" w:rsidRPr="00814967">
        <w:rPr>
          <w:sz w:val="21"/>
          <w:szCs w:val="21"/>
          <w:highlight w:val="yellow"/>
        </w:rPr>
        <w:t>no. 146</w:t>
      </w:r>
      <w:r w:rsidR="0078623C" w:rsidRPr="00814967">
        <w:rPr>
          <w:sz w:val="21"/>
          <w:szCs w:val="21"/>
          <w:highlight w:val="yellow"/>
        </w:rPr>
        <w:t xml:space="preserve"> (https://www.himalayanart.org/items/146), </w:t>
      </w:r>
      <w:r w:rsidR="00242967" w:rsidRPr="00814967">
        <w:rPr>
          <w:sz w:val="21"/>
          <w:szCs w:val="21"/>
          <w:highlight w:val="yellow"/>
        </w:rPr>
        <w:t>which is currently in a collection at the Rubin Museum of Art.</w:t>
      </w:r>
      <w:r w:rsidR="00242967">
        <w:rPr>
          <w:sz w:val="21"/>
          <w:szCs w:val="21"/>
        </w:rPr>
        <w:t xml:space="preserve">  </w:t>
      </w:r>
    </w:p>
  </w:footnote>
  <w:footnote w:id="6">
    <w:p w14:paraId="5D3F0E94" w14:textId="45499DA5" w:rsidR="00836D0A" w:rsidRPr="00243CB7" w:rsidRDefault="00836D0A" w:rsidP="00CC72ED">
      <w:pPr>
        <w:pStyle w:val="FootnoteText"/>
        <w:ind w:firstLine="720"/>
        <w:rPr>
          <w:sz w:val="22"/>
          <w:szCs w:val="22"/>
        </w:rPr>
      </w:pPr>
      <w:r w:rsidRPr="00243CB7">
        <w:rPr>
          <w:rStyle w:val="FootnoteReference"/>
          <w:sz w:val="22"/>
          <w:szCs w:val="22"/>
        </w:rPr>
        <w:footnoteRef/>
      </w:r>
      <w:r w:rsidRPr="00243CB7">
        <w:rPr>
          <w:sz w:val="22"/>
          <w:szCs w:val="22"/>
        </w:rPr>
        <w:t xml:space="preserve"> The first discourse is the longer </w:t>
      </w:r>
      <w:r w:rsidRPr="00243CB7">
        <w:rPr>
          <w:i/>
          <w:iCs/>
          <w:sz w:val="22"/>
          <w:szCs w:val="22"/>
        </w:rPr>
        <w:t>Seven Tathāgatas Sūtra</w:t>
      </w:r>
      <w:r w:rsidRPr="00243CB7">
        <w:rPr>
          <w:sz w:val="22"/>
          <w:szCs w:val="22"/>
        </w:rPr>
        <w:t xml:space="preserve"> (Toh 50</w:t>
      </w:r>
      <w:r w:rsidR="00E06913" w:rsidRPr="00243CB7">
        <w:rPr>
          <w:sz w:val="22"/>
          <w:szCs w:val="22"/>
        </w:rPr>
        <w:t>3</w:t>
      </w:r>
      <w:r w:rsidRPr="00243CB7">
        <w:rPr>
          <w:sz w:val="22"/>
          <w:szCs w:val="22"/>
        </w:rPr>
        <w:t>) and the second is the shorter sūtra (Toh 50</w:t>
      </w:r>
      <w:r w:rsidR="00E06913" w:rsidRPr="00243CB7">
        <w:rPr>
          <w:sz w:val="22"/>
          <w:szCs w:val="22"/>
        </w:rPr>
        <w:t>4</w:t>
      </w:r>
      <w:r w:rsidRPr="00243CB7">
        <w:rPr>
          <w:sz w:val="22"/>
          <w:szCs w:val="22"/>
        </w:rPr>
        <w:t xml:space="preserve">) titled </w:t>
      </w:r>
      <w:r w:rsidRPr="00243CB7">
        <w:rPr>
          <w:i/>
          <w:iCs/>
          <w:color w:val="000000" w:themeColor="text1"/>
          <w:sz w:val="22"/>
          <w:szCs w:val="22"/>
        </w:rPr>
        <w:t>The Detailed Account of the Previous Aspirations of the Venerable Medicine Buddha</w:t>
      </w:r>
      <w:r w:rsidRPr="00243CB7">
        <w:rPr>
          <w:color w:val="000000" w:themeColor="text1"/>
          <w:sz w:val="22"/>
          <w:szCs w:val="22"/>
        </w:rPr>
        <w:t xml:space="preserve"> (</w:t>
      </w:r>
      <w:r w:rsidRPr="00243CB7">
        <w:rPr>
          <w:rFonts w:eastAsia="Times New Roman"/>
          <w:i/>
          <w:iCs/>
          <w:color w:val="000000" w:themeColor="text1"/>
          <w:sz w:val="22"/>
          <w:szCs w:val="22"/>
          <w:shd w:val="clear" w:color="auto" w:fill="FFFFFF"/>
          <w:lang w:bidi="bo-CN"/>
        </w:rPr>
        <w:t>’phags pa bcom ldan ’das sman gyi bla bai durya’i ’od gyi smon lam gyi khyad par rgyas pa zhes bya ba theg pa chen po’i mdo</w:t>
      </w:r>
      <w:r w:rsidRPr="00243CB7">
        <w:rPr>
          <w:rFonts w:eastAsia="Times New Roman"/>
          <w:color w:val="000000" w:themeColor="text1"/>
          <w:sz w:val="22"/>
          <w:szCs w:val="22"/>
          <w:shd w:val="clear" w:color="auto" w:fill="FFFFFF"/>
          <w:lang w:bidi="bo-CN"/>
        </w:rPr>
        <w:t>).</w:t>
      </w:r>
    </w:p>
  </w:footnote>
  <w:footnote w:id="7">
    <w:p w14:paraId="1E1257AE" w14:textId="6646127A" w:rsidR="003157DB" w:rsidRDefault="003157DB" w:rsidP="003157DB">
      <w:pPr>
        <w:pStyle w:val="FootnoteText"/>
        <w:ind w:firstLine="720"/>
      </w:pPr>
      <w:r w:rsidRPr="00243CB7">
        <w:rPr>
          <w:rStyle w:val="FootnoteReference"/>
          <w:sz w:val="22"/>
          <w:szCs w:val="22"/>
        </w:rPr>
        <w:footnoteRef/>
      </w:r>
      <w:r w:rsidRPr="00243CB7">
        <w:rPr>
          <w:sz w:val="22"/>
          <w:szCs w:val="22"/>
        </w:rPr>
        <w:t xml:space="preserve"> I chose this specific mandala because it is an early iteration of a Geluk Medicine Buddha Mandala </w:t>
      </w:r>
      <w:r w:rsidR="00A62389" w:rsidRPr="00243CB7">
        <w:rPr>
          <w:sz w:val="22"/>
          <w:szCs w:val="22"/>
        </w:rPr>
        <w:t xml:space="preserve">with a text at its center </w:t>
      </w:r>
      <w:r w:rsidRPr="00243CB7">
        <w:rPr>
          <w:sz w:val="22"/>
          <w:szCs w:val="22"/>
        </w:rPr>
        <w:t>and hence a work from within the institution</w:t>
      </w:r>
      <w:r w:rsidR="00A62389" w:rsidRPr="00243CB7">
        <w:rPr>
          <w:sz w:val="22"/>
          <w:szCs w:val="22"/>
        </w:rPr>
        <w:t xml:space="preserve"> of the Dalai Lamas</w:t>
      </w:r>
      <w:r w:rsidRPr="00243CB7">
        <w:rPr>
          <w:sz w:val="22"/>
          <w:szCs w:val="22"/>
        </w:rPr>
        <w:t>. It is also legible and accessible.</w:t>
      </w:r>
      <w:r>
        <w:t xml:space="preserve"> </w:t>
      </w:r>
    </w:p>
  </w:footnote>
  <w:footnote w:id="8">
    <w:p w14:paraId="7196674E" w14:textId="3EB0AFD3" w:rsidR="00836D0A" w:rsidRPr="00BC4890" w:rsidRDefault="00836D0A" w:rsidP="00BC4890">
      <w:pPr>
        <w:pStyle w:val="FootnoteText"/>
        <w:ind w:firstLine="720"/>
        <w:rPr>
          <w:color w:val="000000" w:themeColor="text1"/>
          <w:sz w:val="22"/>
          <w:szCs w:val="22"/>
        </w:rPr>
      </w:pPr>
      <w:r w:rsidRPr="00BC4890">
        <w:rPr>
          <w:rStyle w:val="FootnoteReference"/>
          <w:color w:val="000000" w:themeColor="text1"/>
          <w:sz w:val="22"/>
          <w:szCs w:val="22"/>
        </w:rPr>
        <w:footnoteRef/>
      </w:r>
      <w:r w:rsidRPr="00BC4890">
        <w:rPr>
          <w:color w:val="000000" w:themeColor="text1"/>
          <w:sz w:val="22"/>
          <w:szCs w:val="22"/>
        </w:rPr>
        <w:t xml:space="preserve"> </w:t>
      </w:r>
      <w:r>
        <w:rPr>
          <w:sz w:val="22"/>
          <w:szCs w:val="22"/>
        </w:rPr>
        <w:t>L</w:t>
      </w:r>
      <w:r w:rsidRPr="00BC4890">
        <w:rPr>
          <w:sz w:val="22"/>
          <w:szCs w:val="22"/>
        </w:rPr>
        <w:t xml:space="preserve">ocated in the Tibetan Tengyur (bstan ‘gyur), </w:t>
      </w:r>
      <w:r>
        <w:rPr>
          <w:color w:val="000000" w:themeColor="text1"/>
          <w:sz w:val="22"/>
          <w:szCs w:val="22"/>
        </w:rPr>
        <w:t xml:space="preserve">the </w:t>
      </w:r>
      <w:r w:rsidRPr="00BC4890">
        <w:rPr>
          <w:color w:val="000000" w:themeColor="text1"/>
          <w:sz w:val="22"/>
          <w:szCs w:val="22"/>
        </w:rPr>
        <w:t xml:space="preserve">longest of </w:t>
      </w:r>
      <w:r w:rsidRPr="00BB40F4">
        <w:rPr>
          <w:sz w:val="22"/>
          <w:szCs w:val="22"/>
        </w:rPr>
        <w:t>Śāntarakṣita</w:t>
      </w:r>
      <w:r>
        <w:rPr>
          <w:sz w:val="22"/>
          <w:szCs w:val="22"/>
        </w:rPr>
        <w:t>’s</w:t>
      </w:r>
      <w:r w:rsidRPr="00BB40F4">
        <w:rPr>
          <w:sz w:val="22"/>
          <w:szCs w:val="22"/>
        </w:rPr>
        <w:t xml:space="preserve"> </w:t>
      </w:r>
      <w:r w:rsidRPr="00BC4890">
        <w:rPr>
          <w:color w:val="000000" w:themeColor="text1"/>
          <w:sz w:val="22"/>
          <w:szCs w:val="22"/>
        </w:rPr>
        <w:t xml:space="preserve">three works is titled </w:t>
      </w:r>
      <w:r w:rsidRPr="00BC4890">
        <w:rPr>
          <w:i/>
          <w:iCs/>
          <w:color w:val="000000" w:themeColor="text1"/>
          <w:sz w:val="22"/>
          <w:szCs w:val="22"/>
        </w:rPr>
        <w:t>A Ritual for the Recitation of the Incantations of the Detailed Account of the Previous Aspirations of the Seven Tathāgatas</w:t>
      </w:r>
      <w:r w:rsidRPr="00BC4890">
        <w:rPr>
          <w:color w:val="000000" w:themeColor="text1"/>
          <w:sz w:val="22"/>
          <w:szCs w:val="22"/>
        </w:rPr>
        <w:t xml:space="preserve">, </w:t>
      </w:r>
      <w:r w:rsidRPr="00BC4890">
        <w:rPr>
          <w:i/>
          <w:iCs/>
          <w:color w:val="000000" w:themeColor="text1"/>
          <w:sz w:val="22"/>
          <w:szCs w:val="22"/>
        </w:rPr>
        <w:t>A Condensation of the Sūtras</w:t>
      </w:r>
      <w:r w:rsidRPr="00BC4890">
        <w:rPr>
          <w:color w:val="000000" w:themeColor="text1"/>
          <w:sz w:val="22"/>
          <w:szCs w:val="22"/>
        </w:rPr>
        <w:t xml:space="preserve"> (</w:t>
      </w:r>
      <w:r w:rsidRPr="00BC4890">
        <w:rPr>
          <w:i/>
          <w:iCs/>
          <w:color w:val="000000" w:themeColor="text1"/>
          <w:sz w:val="22"/>
          <w:szCs w:val="22"/>
        </w:rPr>
        <w:t>de bzhin gshegs pa bdun gyi sngon gyi smon lam gyi khyad par rgyas pa’i gzungs bklag pa’i cho gam do sde las btus</w:t>
      </w:r>
      <w:r w:rsidRPr="00BC4890">
        <w:rPr>
          <w:color w:val="000000" w:themeColor="text1"/>
          <w:sz w:val="22"/>
          <w:szCs w:val="22"/>
        </w:rPr>
        <w:t xml:space="preserve">). The two shorter works are titled </w:t>
      </w:r>
      <w:r w:rsidRPr="00BC4890">
        <w:rPr>
          <w:i/>
          <w:iCs/>
          <w:color w:val="000000" w:themeColor="text1"/>
          <w:sz w:val="22"/>
          <w:szCs w:val="22"/>
        </w:rPr>
        <w:t xml:space="preserve">Personal Instructions on the Sūtra of the Detailed Account of the Previous Aspirations of the Seven Tathāgatas </w:t>
      </w:r>
      <w:r w:rsidRPr="00BC4890">
        <w:rPr>
          <w:color w:val="000000" w:themeColor="text1"/>
          <w:sz w:val="22"/>
          <w:szCs w:val="22"/>
        </w:rPr>
        <w:t>(</w:t>
      </w:r>
      <w:r w:rsidRPr="00BC4890">
        <w:rPr>
          <w:i/>
          <w:iCs/>
          <w:color w:val="000000" w:themeColor="text1"/>
          <w:sz w:val="22"/>
          <w:szCs w:val="22"/>
        </w:rPr>
        <w:t>de bzhin gshegs pa bdun gyi sngon gyi smon lam gyi khyad par rgyas pa’i mdo sde’i man ngag</w:t>
      </w:r>
      <w:r w:rsidRPr="00BC4890">
        <w:rPr>
          <w:color w:val="000000" w:themeColor="text1"/>
          <w:sz w:val="22"/>
          <w:szCs w:val="22"/>
        </w:rPr>
        <w:t xml:space="preserve">) and </w:t>
      </w:r>
      <w:r w:rsidRPr="00BC4890">
        <w:rPr>
          <w:i/>
          <w:iCs/>
          <w:color w:val="000000" w:themeColor="text1"/>
          <w:sz w:val="22"/>
          <w:szCs w:val="22"/>
        </w:rPr>
        <w:t xml:space="preserve">A Recitation of the Sūtra titled “The Detailed Account of the Previous Aspirations of the Seven Tathāgatas, along with the Discourse that Presents the Offerings and Rites of the Aspirations Associated with the Seven Tathāgatas </w:t>
      </w:r>
      <w:r w:rsidRPr="00BC4890">
        <w:rPr>
          <w:color w:val="000000" w:themeColor="text1"/>
          <w:sz w:val="22"/>
          <w:szCs w:val="22"/>
        </w:rPr>
        <w:t>(</w:t>
      </w:r>
      <w:r w:rsidRPr="00BC4890">
        <w:rPr>
          <w:i/>
          <w:iCs/>
          <w:color w:val="000000" w:themeColor="text1"/>
          <w:sz w:val="22"/>
          <w:szCs w:val="22"/>
        </w:rPr>
        <w:t>de bzhin gshegs pa bdun gyi sngon gyi smon lam gyi khyad par rgyas pa zhes bya ba’i mdo sde bklag cing de bzhin gshegs pa bdun mchod de smon lam gdab pa’i cho ga mdo sde las btus te rim par bklag pa</w:t>
      </w:r>
      <w:r w:rsidRPr="00BC4890">
        <w:rPr>
          <w:color w:val="000000" w:themeColor="text1"/>
          <w:sz w:val="22"/>
          <w:szCs w:val="22"/>
        </w:rPr>
        <w:t xml:space="preserve">). </w:t>
      </w:r>
    </w:p>
  </w:footnote>
  <w:footnote w:id="9">
    <w:p w14:paraId="04826338" w14:textId="77777777" w:rsidR="00836D0A" w:rsidRPr="00BC578E" w:rsidRDefault="00836D0A" w:rsidP="00CC72ED">
      <w:pPr>
        <w:pStyle w:val="FootnoteText"/>
        <w:ind w:firstLine="720"/>
        <w:rPr>
          <w:color w:val="000000" w:themeColor="text1"/>
          <w:sz w:val="22"/>
          <w:szCs w:val="22"/>
        </w:rPr>
      </w:pPr>
      <w:r w:rsidRPr="00BC578E">
        <w:rPr>
          <w:rStyle w:val="FootnoteReference"/>
          <w:color w:val="000000" w:themeColor="text1"/>
          <w:sz w:val="22"/>
          <w:szCs w:val="22"/>
        </w:rPr>
        <w:footnoteRef/>
      </w:r>
      <w:r w:rsidRPr="00BC578E">
        <w:rPr>
          <w:color w:val="000000" w:themeColor="text1"/>
          <w:sz w:val="22"/>
          <w:szCs w:val="22"/>
        </w:rPr>
        <w:t xml:space="preserve"> See Lobzang Chokyi Gyeltsen’s ritual manual, located in his collected works (</w:t>
      </w:r>
      <w:r w:rsidRPr="00BC578E">
        <w:rPr>
          <w:i/>
          <w:iCs/>
          <w:color w:val="000000" w:themeColor="text1"/>
          <w:sz w:val="22"/>
          <w:szCs w:val="22"/>
        </w:rPr>
        <w:t>gsung ‘bum</w:t>
      </w:r>
      <w:r w:rsidRPr="00BC578E">
        <w:rPr>
          <w:color w:val="000000" w:themeColor="text1"/>
          <w:sz w:val="22"/>
          <w:szCs w:val="22"/>
        </w:rPr>
        <w:t xml:space="preserve">), titled </w:t>
      </w:r>
      <w:r w:rsidRPr="00BC578E">
        <w:rPr>
          <w:i/>
          <w:iCs/>
          <w:color w:val="000000" w:themeColor="text1"/>
          <w:sz w:val="22"/>
          <w:szCs w:val="22"/>
        </w:rPr>
        <w:t>The Wish-Fulfilling Jewel: A Liturgy for the Worship of the Venerable Seven Buddhas of Medicine</w:t>
      </w:r>
      <w:r w:rsidRPr="00BC578E">
        <w:rPr>
          <w:color w:val="000000" w:themeColor="text1"/>
          <w:sz w:val="22"/>
          <w:szCs w:val="22"/>
        </w:rPr>
        <w:t xml:space="preserve"> (</w:t>
      </w:r>
      <w:r w:rsidRPr="00BC578E">
        <w:rPr>
          <w:i/>
          <w:iCs/>
          <w:color w:val="000000" w:themeColor="text1"/>
          <w:sz w:val="22"/>
          <w:szCs w:val="22"/>
        </w:rPr>
        <w:t>bcom ldan ‘das sman bla’i mdo chog gyi snying po bsdus pa yid bzhin gyi nor bu</w:t>
      </w:r>
      <w:r w:rsidRPr="00BC578E">
        <w:rPr>
          <w:color w:val="000000" w:themeColor="text1"/>
          <w:sz w:val="22"/>
          <w:szCs w:val="22"/>
        </w:rPr>
        <w:t xml:space="preserve">). </w:t>
      </w:r>
    </w:p>
  </w:footnote>
  <w:footnote w:id="10">
    <w:p w14:paraId="490350EF" w14:textId="77777777" w:rsidR="00643FD2" w:rsidRPr="00BC578E" w:rsidRDefault="00643FD2" w:rsidP="00643FD2">
      <w:pPr>
        <w:pStyle w:val="FootnoteText"/>
        <w:ind w:firstLine="720"/>
      </w:pPr>
      <w:r w:rsidRPr="00BC578E">
        <w:rPr>
          <w:rStyle w:val="FootnoteReference"/>
          <w:color w:val="000000" w:themeColor="text1"/>
          <w:sz w:val="22"/>
          <w:szCs w:val="22"/>
        </w:rPr>
        <w:footnoteRef/>
      </w:r>
      <w:r w:rsidRPr="00BC578E">
        <w:rPr>
          <w:color w:val="000000" w:themeColor="text1"/>
          <w:sz w:val="22"/>
          <w:szCs w:val="22"/>
        </w:rPr>
        <w:t xml:space="preserve"> </w:t>
      </w:r>
      <w:r>
        <w:rPr>
          <w:color w:val="000000" w:themeColor="text1"/>
          <w:sz w:val="22"/>
          <w:szCs w:val="22"/>
        </w:rPr>
        <w:t xml:space="preserve">The exact relationship between Toh 504 and 503 still needs to be worked out.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3CCB" w14:textId="77777777" w:rsidR="00836D0A" w:rsidRPr="009D47E1" w:rsidRDefault="00836D0A" w:rsidP="0049047F">
    <w:pPr>
      <w:pStyle w:val="Header"/>
    </w:pPr>
    <w:r w:rsidRPr="009D47E1">
      <w:t xml:space="preserve">Hamblin </w:t>
    </w:r>
    <w:r>
      <w:tab/>
    </w:r>
    <w:r>
      <w:tab/>
      <w:t xml:space="preserve"> </w:t>
    </w:r>
    <w:r w:rsidRPr="009D47E1">
      <w:t xml:space="preserve">Dissertation Proposal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10121"/>
    <w:multiLevelType w:val="hybridMultilevel"/>
    <w:tmpl w:val="DE2859A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C40FA6"/>
    <w:multiLevelType w:val="hybridMultilevel"/>
    <w:tmpl w:val="9BD49E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433940"/>
    <w:multiLevelType w:val="hybridMultilevel"/>
    <w:tmpl w:val="2A2C4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1373C"/>
    <w:multiLevelType w:val="hybridMultilevel"/>
    <w:tmpl w:val="A502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457029"/>
    <w:multiLevelType w:val="hybridMultilevel"/>
    <w:tmpl w:val="2F728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8433203">
    <w:abstractNumId w:val="3"/>
  </w:num>
  <w:num w:numId="2" w16cid:durableId="1944607408">
    <w:abstractNumId w:val="4"/>
  </w:num>
  <w:num w:numId="3" w16cid:durableId="2018147340">
    <w:abstractNumId w:val="2"/>
  </w:num>
  <w:num w:numId="4" w16cid:durableId="1879469397">
    <w:abstractNumId w:val="0"/>
  </w:num>
  <w:num w:numId="5" w16cid:durableId="404036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DB"/>
    <w:rsid w:val="00004FF8"/>
    <w:rsid w:val="0000724A"/>
    <w:rsid w:val="00012513"/>
    <w:rsid w:val="000141D8"/>
    <w:rsid w:val="00016CE9"/>
    <w:rsid w:val="00021E75"/>
    <w:rsid w:val="00022013"/>
    <w:rsid w:val="0002283B"/>
    <w:rsid w:val="00032AB8"/>
    <w:rsid w:val="0003352A"/>
    <w:rsid w:val="00034F5A"/>
    <w:rsid w:val="0003584F"/>
    <w:rsid w:val="000358B8"/>
    <w:rsid w:val="00043C50"/>
    <w:rsid w:val="000465DF"/>
    <w:rsid w:val="00054931"/>
    <w:rsid w:val="00066F49"/>
    <w:rsid w:val="000707C1"/>
    <w:rsid w:val="000720D1"/>
    <w:rsid w:val="000915A7"/>
    <w:rsid w:val="00091F66"/>
    <w:rsid w:val="000A020F"/>
    <w:rsid w:val="000A2D7E"/>
    <w:rsid w:val="000A6B7C"/>
    <w:rsid w:val="000A7B37"/>
    <w:rsid w:val="000C76D2"/>
    <w:rsid w:val="000E0B49"/>
    <w:rsid w:val="000E508B"/>
    <w:rsid w:val="000E5A44"/>
    <w:rsid w:val="000F0FA2"/>
    <w:rsid w:val="000F276D"/>
    <w:rsid w:val="001014AE"/>
    <w:rsid w:val="00103EDF"/>
    <w:rsid w:val="00104490"/>
    <w:rsid w:val="00105F36"/>
    <w:rsid w:val="00106E08"/>
    <w:rsid w:val="00110C42"/>
    <w:rsid w:val="001171B9"/>
    <w:rsid w:val="00120F64"/>
    <w:rsid w:val="001216E0"/>
    <w:rsid w:val="00121A93"/>
    <w:rsid w:val="00127E0B"/>
    <w:rsid w:val="00132921"/>
    <w:rsid w:val="001362F7"/>
    <w:rsid w:val="00137AF0"/>
    <w:rsid w:val="001424EE"/>
    <w:rsid w:val="0014380D"/>
    <w:rsid w:val="00146662"/>
    <w:rsid w:val="00146E73"/>
    <w:rsid w:val="00147059"/>
    <w:rsid w:val="00154EAC"/>
    <w:rsid w:val="00155597"/>
    <w:rsid w:val="00160098"/>
    <w:rsid w:val="001610CE"/>
    <w:rsid w:val="00167FF4"/>
    <w:rsid w:val="00173DB1"/>
    <w:rsid w:val="00182340"/>
    <w:rsid w:val="001840C3"/>
    <w:rsid w:val="0018633B"/>
    <w:rsid w:val="00197DEB"/>
    <w:rsid w:val="001A2C53"/>
    <w:rsid w:val="001B12F2"/>
    <w:rsid w:val="001B2307"/>
    <w:rsid w:val="001B3FF9"/>
    <w:rsid w:val="001C0F94"/>
    <w:rsid w:val="001C40B5"/>
    <w:rsid w:val="001C50E1"/>
    <w:rsid w:val="001F5BA7"/>
    <w:rsid w:val="00202F96"/>
    <w:rsid w:val="00204252"/>
    <w:rsid w:val="00210830"/>
    <w:rsid w:val="0022001F"/>
    <w:rsid w:val="00224F8A"/>
    <w:rsid w:val="00225F8A"/>
    <w:rsid w:val="002275FA"/>
    <w:rsid w:val="00233DAE"/>
    <w:rsid w:val="00241231"/>
    <w:rsid w:val="00242967"/>
    <w:rsid w:val="00243CB7"/>
    <w:rsid w:val="00244392"/>
    <w:rsid w:val="00253379"/>
    <w:rsid w:val="00255021"/>
    <w:rsid w:val="002570EC"/>
    <w:rsid w:val="00257747"/>
    <w:rsid w:val="00263D9C"/>
    <w:rsid w:val="002669EA"/>
    <w:rsid w:val="00266B17"/>
    <w:rsid w:val="00270390"/>
    <w:rsid w:val="00280F28"/>
    <w:rsid w:val="00281BB0"/>
    <w:rsid w:val="002839AC"/>
    <w:rsid w:val="002848AA"/>
    <w:rsid w:val="00290B9D"/>
    <w:rsid w:val="00291470"/>
    <w:rsid w:val="00292559"/>
    <w:rsid w:val="002A2D0B"/>
    <w:rsid w:val="002A4A59"/>
    <w:rsid w:val="002A5627"/>
    <w:rsid w:val="002B098D"/>
    <w:rsid w:val="002B4654"/>
    <w:rsid w:val="002B74EB"/>
    <w:rsid w:val="002C27D1"/>
    <w:rsid w:val="002C3137"/>
    <w:rsid w:val="002C6617"/>
    <w:rsid w:val="002D145F"/>
    <w:rsid w:val="002D4C01"/>
    <w:rsid w:val="002F4E18"/>
    <w:rsid w:val="002F5099"/>
    <w:rsid w:val="002F51D2"/>
    <w:rsid w:val="002F5D42"/>
    <w:rsid w:val="002F6584"/>
    <w:rsid w:val="002F6E00"/>
    <w:rsid w:val="00304040"/>
    <w:rsid w:val="003055A5"/>
    <w:rsid w:val="003157DB"/>
    <w:rsid w:val="00317EA0"/>
    <w:rsid w:val="003203C2"/>
    <w:rsid w:val="00324BF0"/>
    <w:rsid w:val="00330E50"/>
    <w:rsid w:val="003324CC"/>
    <w:rsid w:val="003354F0"/>
    <w:rsid w:val="00336537"/>
    <w:rsid w:val="00340C80"/>
    <w:rsid w:val="00342C69"/>
    <w:rsid w:val="00345158"/>
    <w:rsid w:val="003524AF"/>
    <w:rsid w:val="00353313"/>
    <w:rsid w:val="003558B2"/>
    <w:rsid w:val="003619B7"/>
    <w:rsid w:val="00365F98"/>
    <w:rsid w:val="00370DDE"/>
    <w:rsid w:val="003724D0"/>
    <w:rsid w:val="003769D1"/>
    <w:rsid w:val="00380773"/>
    <w:rsid w:val="003809B0"/>
    <w:rsid w:val="00395177"/>
    <w:rsid w:val="003A2563"/>
    <w:rsid w:val="003A7E69"/>
    <w:rsid w:val="003C2F1E"/>
    <w:rsid w:val="003D32C7"/>
    <w:rsid w:val="003D4019"/>
    <w:rsid w:val="003D461C"/>
    <w:rsid w:val="003D79F0"/>
    <w:rsid w:val="003E6CC0"/>
    <w:rsid w:val="003E7120"/>
    <w:rsid w:val="003F10F8"/>
    <w:rsid w:val="003F4609"/>
    <w:rsid w:val="003F47DE"/>
    <w:rsid w:val="003F4CF2"/>
    <w:rsid w:val="00405F80"/>
    <w:rsid w:val="00413587"/>
    <w:rsid w:val="004204BA"/>
    <w:rsid w:val="0042111C"/>
    <w:rsid w:val="004231BC"/>
    <w:rsid w:val="00427781"/>
    <w:rsid w:val="00434D21"/>
    <w:rsid w:val="00440189"/>
    <w:rsid w:val="004425B3"/>
    <w:rsid w:val="00443AE0"/>
    <w:rsid w:val="004442D7"/>
    <w:rsid w:val="00453C6D"/>
    <w:rsid w:val="00464892"/>
    <w:rsid w:val="00466FF7"/>
    <w:rsid w:val="0047571A"/>
    <w:rsid w:val="00481122"/>
    <w:rsid w:val="00483AB5"/>
    <w:rsid w:val="00487B9C"/>
    <w:rsid w:val="0049047F"/>
    <w:rsid w:val="00494C25"/>
    <w:rsid w:val="004A1720"/>
    <w:rsid w:val="004A1F27"/>
    <w:rsid w:val="004A3499"/>
    <w:rsid w:val="004A3938"/>
    <w:rsid w:val="004B45DE"/>
    <w:rsid w:val="004C32A2"/>
    <w:rsid w:val="004D6BA1"/>
    <w:rsid w:val="004D6E57"/>
    <w:rsid w:val="004E4B92"/>
    <w:rsid w:val="004E4CFB"/>
    <w:rsid w:val="004F0BE9"/>
    <w:rsid w:val="00502641"/>
    <w:rsid w:val="00505BBF"/>
    <w:rsid w:val="00506D65"/>
    <w:rsid w:val="00507B63"/>
    <w:rsid w:val="00523C43"/>
    <w:rsid w:val="00525261"/>
    <w:rsid w:val="005259CA"/>
    <w:rsid w:val="00531558"/>
    <w:rsid w:val="005326CB"/>
    <w:rsid w:val="005338CE"/>
    <w:rsid w:val="00537001"/>
    <w:rsid w:val="0054129F"/>
    <w:rsid w:val="005557D8"/>
    <w:rsid w:val="005561A3"/>
    <w:rsid w:val="00556BC9"/>
    <w:rsid w:val="00561EC5"/>
    <w:rsid w:val="00563B37"/>
    <w:rsid w:val="00564391"/>
    <w:rsid w:val="00567022"/>
    <w:rsid w:val="005672C7"/>
    <w:rsid w:val="005729F7"/>
    <w:rsid w:val="00576540"/>
    <w:rsid w:val="00583C5D"/>
    <w:rsid w:val="005A0EF2"/>
    <w:rsid w:val="005A1715"/>
    <w:rsid w:val="005A3BF5"/>
    <w:rsid w:val="005A70F8"/>
    <w:rsid w:val="005B4561"/>
    <w:rsid w:val="005C0723"/>
    <w:rsid w:val="005C0983"/>
    <w:rsid w:val="005D0195"/>
    <w:rsid w:val="005D152A"/>
    <w:rsid w:val="005D48C0"/>
    <w:rsid w:val="005D48ED"/>
    <w:rsid w:val="005D764F"/>
    <w:rsid w:val="005E4863"/>
    <w:rsid w:val="005E6117"/>
    <w:rsid w:val="005F499E"/>
    <w:rsid w:val="00602427"/>
    <w:rsid w:val="00603F0E"/>
    <w:rsid w:val="006047E2"/>
    <w:rsid w:val="006115B0"/>
    <w:rsid w:val="00620C4A"/>
    <w:rsid w:val="0062186F"/>
    <w:rsid w:val="0062483A"/>
    <w:rsid w:val="006309D8"/>
    <w:rsid w:val="00630F7B"/>
    <w:rsid w:val="00634FEA"/>
    <w:rsid w:val="00636A8D"/>
    <w:rsid w:val="00643FD2"/>
    <w:rsid w:val="006463C8"/>
    <w:rsid w:val="00646A5D"/>
    <w:rsid w:val="00651C3F"/>
    <w:rsid w:val="00652D95"/>
    <w:rsid w:val="006573C7"/>
    <w:rsid w:val="00660B64"/>
    <w:rsid w:val="00661DD4"/>
    <w:rsid w:val="00662A24"/>
    <w:rsid w:val="00673360"/>
    <w:rsid w:val="006766D3"/>
    <w:rsid w:val="0069413C"/>
    <w:rsid w:val="00696785"/>
    <w:rsid w:val="006B3B34"/>
    <w:rsid w:val="006B6321"/>
    <w:rsid w:val="006D561F"/>
    <w:rsid w:val="006F0C87"/>
    <w:rsid w:val="006F13E3"/>
    <w:rsid w:val="006F2F7C"/>
    <w:rsid w:val="006F5EEC"/>
    <w:rsid w:val="006F7263"/>
    <w:rsid w:val="006F72DA"/>
    <w:rsid w:val="006F7C9C"/>
    <w:rsid w:val="00703A18"/>
    <w:rsid w:val="00703F58"/>
    <w:rsid w:val="00710B67"/>
    <w:rsid w:val="00711C1C"/>
    <w:rsid w:val="007155ED"/>
    <w:rsid w:val="0071790E"/>
    <w:rsid w:val="00722B0C"/>
    <w:rsid w:val="00723743"/>
    <w:rsid w:val="00731E95"/>
    <w:rsid w:val="00744889"/>
    <w:rsid w:val="00751E83"/>
    <w:rsid w:val="007545A4"/>
    <w:rsid w:val="0076124E"/>
    <w:rsid w:val="00764F34"/>
    <w:rsid w:val="007714BB"/>
    <w:rsid w:val="007749E5"/>
    <w:rsid w:val="00775437"/>
    <w:rsid w:val="007856DF"/>
    <w:rsid w:val="00785E4F"/>
    <w:rsid w:val="0078623C"/>
    <w:rsid w:val="007869EA"/>
    <w:rsid w:val="007902AD"/>
    <w:rsid w:val="00790C0F"/>
    <w:rsid w:val="0079284A"/>
    <w:rsid w:val="007A0462"/>
    <w:rsid w:val="007A31FD"/>
    <w:rsid w:val="007A5CDD"/>
    <w:rsid w:val="007B286E"/>
    <w:rsid w:val="007B4872"/>
    <w:rsid w:val="007D11C0"/>
    <w:rsid w:val="007D136A"/>
    <w:rsid w:val="007E15E6"/>
    <w:rsid w:val="007F0849"/>
    <w:rsid w:val="007F10BF"/>
    <w:rsid w:val="007F1A76"/>
    <w:rsid w:val="007F7A0D"/>
    <w:rsid w:val="00800E89"/>
    <w:rsid w:val="00803AD0"/>
    <w:rsid w:val="008054E0"/>
    <w:rsid w:val="008062B1"/>
    <w:rsid w:val="00807DC8"/>
    <w:rsid w:val="008109FE"/>
    <w:rsid w:val="008126CC"/>
    <w:rsid w:val="00814967"/>
    <w:rsid w:val="0081683B"/>
    <w:rsid w:val="008179C5"/>
    <w:rsid w:val="00822ADE"/>
    <w:rsid w:val="00823A08"/>
    <w:rsid w:val="008272D6"/>
    <w:rsid w:val="00831378"/>
    <w:rsid w:val="00831CA2"/>
    <w:rsid w:val="0083503E"/>
    <w:rsid w:val="00836D0A"/>
    <w:rsid w:val="0084461D"/>
    <w:rsid w:val="00844E0A"/>
    <w:rsid w:val="00845566"/>
    <w:rsid w:val="008460EE"/>
    <w:rsid w:val="00851D3E"/>
    <w:rsid w:val="008529AF"/>
    <w:rsid w:val="00854D21"/>
    <w:rsid w:val="0086527E"/>
    <w:rsid w:val="0086632E"/>
    <w:rsid w:val="00866928"/>
    <w:rsid w:val="00867E1C"/>
    <w:rsid w:val="00874496"/>
    <w:rsid w:val="00875FC2"/>
    <w:rsid w:val="008807EB"/>
    <w:rsid w:val="00891EE8"/>
    <w:rsid w:val="008A5397"/>
    <w:rsid w:val="008C0121"/>
    <w:rsid w:val="008C2285"/>
    <w:rsid w:val="008C7BF5"/>
    <w:rsid w:val="008D23AE"/>
    <w:rsid w:val="008D746F"/>
    <w:rsid w:val="008E0201"/>
    <w:rsid w:val="008E33F0"/>
    <w:rsid w:val="00904A5C"/>
    <w:rsid w:val="00910A32"/>
    <w:rsid w:val="00917DD5"/>
    <w:rsid w:val="00921217"/>
    <w:rsid w:val="0092554C"/>
    <w:rsid w:val="00931C84"/>
    <w:rsid w:val="00931E8E"/>
    <w:rsid w:val="00933D57"/>
    <w:rsid w:val="009362F7"/>
    <w:rsid w:val="00940071"/>
    <w:rsid w:val="00940783"/>
    <w:rsid w:val="00951342"/>
    <w:rsid w:val="00952A3A"/>
    <w:rsid w:val="00957159"/>
    <w:rsid w:val="00960CC8"/>
    <w:rsid w:val="00961AED"/>
    <w:rsid w:val="00970FDE"/>
    <w:rsid w:val="009731AC"/>
    <w:rsid w:val="00973806"/>
    <w:rsid w:val="00973D24"/>
    <w:rsid w:val="00975632"/>
    <w:rsid w:val="00981B2B"/>
    <w:rsid w:val="0098305C"/>
    <w:rsid w:val="00985FBB"/>
    <w:rsid w:val="009901E9"/>
    <w:rsid w:val="0099381C"/>
    <w:rsid w:val="00994CB3"/>
    <w:rsid w:val="009A1D85"/>
    <w:rsid w:val="009A3903"/>
    <w:rsid w:val="009A43E1"/>
    <w:rsid w:val="009A50BF"/>
    <w:rsid w:val="009A6A3A"/>
    <w:rsid w:val="009B2899"/>
    <w:rsid w:val="009B3EA8"/>
    <w:rsid w:val="009B5FAE"/>
    <w:rsid w:val="009C75E6"/>
    <w:rsid w:val="009D21BF"/>
    <w:rsid w:val="009D2828"/>
    <w:rsid w:val="009D47E1"/>
    <w:rsid w:val="009E13DB"/>
    <w:rsid w:val="009E375C"/>
    <w:rsid w:val="009E4733"/>
    <w:rsid w:val="009F00A8"/>
    <w:rsid w:val="009F1D02"/>
    <w:rsid w:val="009F413A"/>
    <w:rsid w:val="009F78F2"/>
    <w:rsid w:val="00A02B04"/>
    <w:rsid w:val="00A057E8"/>
    <w:rsid w:val="00A31B59"/>
    <w:rsid w:val="00A320A1"/>
    <w:rsid w:val="00A32DC0"/>
    <w:rsid w:val="00A35633"/>
    <w:rsid w:val="00A47576"/>
    <w:rsid w:val="00A50089"/>
    <w:rsid w:val="00A52044"/>
    <w:rsid w:val="00A52C2D"/>
    <w:rsid w:val="00A57221"/>
    <w:rsid w:val="00A62389"/>
    <w:rsid w:val="00A73880"/>
    <w:rsid w:val="00A73BD4"/>
    <w:rsid w:val="00A75156"/>
    <w:rsid w:val="00A751D4"/>
    <w:rsid w:val="00A808D6"/>
    <w:rsid w:val="00A8673F"/>
    <w:rsid w:val="00A92CC5"/>
    <w:rsid w:val="00A95669"/>
    <w:rsid w:val="00A96C83"/>
    <w:rsid w:val="00AB0044"/>
    <w:rsid w:val="00AB26C7"/>
    <w:rsid w:val="00AB6085"/>
    <w:rsid w:val="00AB6336"/>
    <w:rsid w:val="00AC13E0"/>
    <w:rsid w:val="00AC48D0"/>
    <w:rsid w:val="00AC6A07"/>
    <w:rsid w:val="00AD6A28"/>
    <w:rsid w:val="00AD7C97"/>
    <w:rsid w:val="00AE0550"/>
    <w:rsid w:val="00AE2581"/>
    <w:rsid w:val="00AE4E7B"/>
    <w:rsid w:val="00AE66AC"/>
    <w:rsid w:val="00AF4C05"/>
    <w:rsid w:val="00B13831"/>
    <w:rsid w:val="00B16549"/>
    <w:rsid w:val="00B221E4"/>
    <w:rsid w:val="00B231F7"/>
    <w:rsid w:val="00B2621A"/>
    <w:rsid w:val="00B4570A"/>
    <w:rsid w:val="00B512B9"/>
    <w:rsid w:val="00B55E88"/>
    <w:rsid w:val="00B57B4D"/>
    <w:rsid w:val="00B6105B"/>
    <w:rsid w:val="00B62FDD"/>
    <w:rsid w:val="00B63E60"/>
    <w:rsid w:val="00B70563"/>
    <w:rsid w:val="00B72782"/>
    <w:rsid w:val="00B74008"/>
    <w:rsid w:val="00B869D3"/>
    <w:rsid w:val="00B903D7"/>
    <w:rsid w:val="00BA1D30"/>
    <w:rsid w:val="00BA273A"/>
    <w:rsid w:val="00BA2FEC"/>
    <w:rsid w:val="00BB14CE"/>
    <w:rsid w:val="00BB1DCF"/>
    <w:rsid w:val="00BB3AFA"/>
    <w:rsid w:val="00BB40F4"/>
    <w:rsid w:val="00BB4E64"/>
    <w:rsid w:val="00BC19E4"/>
    <w:rsid w:val="00BC4890"/>
    <w:rsid w:val="00BC578E"/>
    <w:rsid w:val="00BD0C66"/>
    <w:rsid w:val="00BD1A65"/>
    <w:rsid w:val="00BD5E86"/>
    <w:rsid w:val="00BE38A7"/>
    <w:rsid w:val="00BE4D96"/>
    <w:rsid w:val="00BF141F"/>
    <w:rsid w:val="00BF4477"/>
    <w:rsid w:val="00BF4481"/>
    <w:rsid w:val="00BF4DE2"/>
    <w:rsid w:val="00BF4DED"/>
    <w:rsid w:val="00BF5787"/>
    <w:rsid w:val="00BF7417"/>
    <w:rsid w:val="00C02F86"/>
    <w:rsid w:val="00C075F2"/>
    <w:rsid w:val="00C07DB5"/>
    <w:rsid w:val="00C1448A"/>
    <w:rsid w:val="00C158DD"/>
    <w:rsid w:val="00C2569E"/>
    <w:rsid w:val="00C35111"/>
    <w:rsid w:val="00C365AE"/>
    <w:rsid w:val="00C43263"/>
    <w:rsid w:val="00C458A3"/>
    <w:rsid w:val="00C46769"/>
    <w:rsid w:val="00C46CC5"/>
    <w:rsid w:val="00C52AC8"/>
    <w:rsid w:val="00C617AD"/>
    <w:rsid w:val="00C651B7"/>
    <w:rsid w:val="00C65864"/>
    <w:rsid w:val="00C67974"/>
    <w:rsid w:val="00C712C9"/>
    <w:rsid w:val="00C72A77"/>
    <w:rsid w:val="00C7371B"/>
    <w:rsid w:val="00C739B1"/>
    <w:rsid w:val="00C73FBA"/>
    <w:rsid w:val="00C76AC9"/>
    <w:rsid w:val="00C816DD"/>
    <w:rsid w:val="00C81D47"/>
    <w:rsid w:val="00C82490"/>
    <w:rsid w:val="00C92AA2"/>
    <w:rsid w:val="00CA19C0"/>
    <w:rsid w:val="00CA6DCA"/>
    <w:rsid w:val="00CB59B7"/>
    <w:rsid w:val="00CC1238"/>
    <w:rsid w:val="00CC242F"/>
    <w:rsid w:val="00CC71F3"/>
    <w:rsid w:val="00CC72ED"/>
    <w:rsid w:val="00CD13D2"/>
    <w:rsid w:val="00CD30C0"/>
    <w:rsid w:val="00CD5E85"/>
    <w:rsid w:val="00CD6655"/>
    <w:rsid w:val="00CF0731"/>
    <w:rsid w:val="00CF12D2"/>
    <w:rsid w:val="00CF2B45"/>
    <w:rsid w:val="00CF2E3B"/>
    <w:rsid w:val="00CF4DDF"/>
    <w:rsid w:val="00D05372"/>
    <w:rsid w:val="00D077D4"/>
    <w:rsid w:val="00D10F6B"/>
    <w:rsid w:val="00D110C3"/>
    <w:rsid w:val="00D232D0"/>
    <w:rsid w:val="00D26E92"/>
    <w:rsid w:val="00D343CC"/>
    <w:rsid w:val="00D424D0"/>
    <w:rsid w:val="00D54C12"/>
    <w:rsid w:val="00D55EBC"/>
    <w:rsid w:val="00D57F22"/>
    <w:rsid w:val="00D60749"/>
    <w:rsid w:val="00D6093D"/>
    <w:rsid w:val="00D637D0"/>
    <w:rsid w:val="00D703B3"/>
    <w:rsid w:val="00D72F70"/>
    <w:rsid w:val="00D808F2"/>
    <w:rsid w:val="00D851C1"/>
    <w:rsid w:val="00D87FA6"/>
    <w:rsid w:val="00D92990"/>
    <w:rsid w:val="00DB22F2"/>
    <w:rsid w:val="00DB2334"/>
    <w:rsid w:val="00DB3CB6"/>
    <w:rsid w:val="00DC024C"/>
    <w:rsid w:val="00DC2422"/>
    <w:rsid w:val="00DC5FB4"/>
    <w:rsid w:val="00DD06D1"/>
    <w:rsid w:val="00DD6FDD"/>
    <w:rsid w:val="00DE08D5"/>
    <w:rsid w:val="00DE1F44"/>
    <w:rsid w:val="00DF0412"/>
    <w:rsid w:val="00DF2E68"/>
    <w:rsid w:val="00DF2FED"/>
    <w:rsid w:val="00DF688D"/>
    <w:rsid w:val="00DF68C6"/>
    <w:rsid w:val="00DF6CBD"/>
    <w:rsid w:val="00E043FF"/>
    <w:rsid w:val="00E04F5C"/>
    <w:rsid w:val="00E06913"/>
    <w:rsid w:val="00E073AE"/>
    <w:rsid w:val="00E10454"/>
    <w:rsid w:val="00E222AF"/>
    <w:rsid w:val="00E22B7C"/>
    <w:rsid w:val="00E27BC0"/>
    <w:rsid w:val="00E31E69"/>
    <w:rsid w:val="00E34923"/>
    <w:rsid w:val="00E3684A"/>
    <w:rsid w:val="00E50E9C"/>
    <w:rsid w:val="00E57E22"/>
    <w:rsid w:val="00E63E38"/>
    <w:rsid w:val="00E656B1"/>
    <w:rsid w:val="00E70ED4"/>
    <w:rsid w:val="00E72061"/>
    <w:rsid w:val="00E72757"/>
    <w:rsid w:val="00E745FD"/>
    <w:rsid w:val="00E769CC"/>
    <w:rsid w:val="00E773CE"/>
    <w:rsid w:val="00E77862"/>
    <w:rsid w:val="00E813E7"/>
    <w:rsid w:val="00E84B97"/>
    <w:rsid w:val="00E8561D"/>
    <w:rsid w:val="00E90502"/>
    <w:rsid w:val="00E972AF"/>
    <w:rsid w:val="00EA16C7"/>
    <w:rsid w:val="00EA1711"/>
    <w:rsid w:val="00EA303A"/>
    <w:rsid w:val="00EB29E4"/>
    <w:rsid w:val="00EC2E45"/>
    <w:rsid w:val="00EC3156"/>
    <w:rsid w:val="00EC5AAC"/>
    <w:rsid w:val="00EC708B"/>
    <w:rsid w:val="00ED3327"/>
    <w:rsid w:val="00ED48DA"/>
    <w:rsid w:val="00ED72B0"/>
    <w:rsid w:val="00EE4BF7"/>
    <w:rsid w:val="00EE6E34"/>
    <w:rsid w:val="00EE7BAA"/>
    <w:rsid w:val="00EF3086"/>
    <w:rsid w:val="00EF3A17"/>
    <w:rsid w:val="00F1434C"/>
    <w:rsid w:val="00F20F21"/>
    <w:rsid w:val="00F255BB"/>
    <w:rsid w:val="00F25638"/>
    <w:rsid w:val="00F26365"/>
    <w:rsid w:val="00F37ED6"/>
    <w:rsid w:val="00F4229F"/>
    <w:rsid w:val="00F46D76"/>
    <w:rsid w:val="00F526A1"/>
    <w:rsid w:val="00F543D5"/>
    <w:rsid w:val="00F7150D"/>
    <w:rsid w:val="00F82362"/>
    <w:rsid w:val="00F93C9E"/>
    <w:rsid w:val="00FA101C"/>
    <w:rsid w:val="00FA4ED4"/>
    <w:rsid w:val="00FA5955"/>
    <w:rsid w:val="00FB41D1"/>
    <w:rsid w:val="00FB545F"/>
    <w:rsid w:val="00FC5382"/>
    <w:rsid w:val="00FC69F2"/>
    <w:rsid w:val="00FE0E50"/>
    <w:rsid w:val="00FF5596"/>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B82B7"/>
  <w15:chartTrackingRefBased/>
  <w15:docId w15:val="{38A0183D-4E3E-AC4F-94E3-DE6BCFDD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967"/>
    <w:rPr>
      <w:rFonts w:ascii="Times New Roman" w:hAnsi="Times New Roman" w:cs="Times New Roman"/>
    </w:rPr>
  </w:style>
  <w:style w:type="paragraph" w:styleId="Heading1">
    <w:name w:val="heading 1"/>
    <w:basedOn w:val="Normal"/>
    <w:next w:val="Normal"/>
    <w:link w:val="Heading1Char"/>
    <w:uiPriority w:val="9"/>
    <w:qFormat/>
    <w:rsid w:val="009D47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58DD"/>
    <w:pPr>
      <w:keepNext/>
      <w:keepLines/>
      <w:spacing w:before="40"/>
      <w:outlineLvl w:val="1"/>
    </w:pPr>
    <w:rPr>
      <w:rFonts w:asciiTheme="minorHAnsi" w:eastAsiaTheme="majorEastAsia" w:hAnsiTheme="minorHAnsi" w:cstheme="minorHAnsi"/>
      <w:color w:val="2F5496" w:themeColor="accent1" w:themeShade="BF"/>
      <w:sz w:val="26"/>
      <w:szCs w:val="26"/>
    </w:rPr>
  </w:style>
  <w:style w:type="paragraph" w:styleId="Heading3">
    <w:name w:val="heading 3"/>
    <w:basedOn w:val="Normal"/>
    <w:next w:val="Normal"/>
    <w:link w:val="Heading3Char"/>
    <w:uiPriority w:val="9"/>
    <w:unhideWhenUsed/>
    <w:qFormat/>
    <w:rsid w:val="00032A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3DB"/>
    <w:pPr>
      <w:tabs>
        <w:tab w:val="center" w:pos="4680"/>
        <w:tab w:val="right" w:pos="9360"/>
      </w:tabs>
    </w:pPr>
  </w:style>
  <w:style w:type="character" w:customStyle="1" w:styleId="HeaderChar">
    <w:name w:val="Header Char"/>
    <w:basedOn w:val="DefaultParagraphFont"/>
    <w:link w:val="Header"/>
    <w:uiPriority w:val="99"/>
    <w:rsid w:val="009E13DB"/>
  </w:style>
  <w:style w:type="paragraph" w:styleId="Footer">
    <w:name w:val="footer"/>
    <w:basedOn w:val="Normal"/>
    <w:link w:val="FooterChar"/>
    <w:uiPriority w:val="99"/>
    <w:unhideWhenUsed/>
    <w:rsid w:val="009E13DB"/>
    <w:pPr>
      <w:tabs>
        <w:tab w:val="center" w:pos="4680"/>
        <w:tab w:val="right" w:pos="9360"/>
      </w:tabs>
    </w:pPr>
  </w:style>
  <w:style w:type="character" w:customStyle="1" w:styleId="FooterChar">
    <w:name w:val="Footer Char"/>
    <w:basedOn w:val="DefaultParagraphFont"/>
    <w:link w:val="Footer"/>
    <w:uiPriority w:val="99"/>
    <w:rsid w:val="009E13DB"/>
  </w:style>
  <w:style w:type="paragraph" w:styleId="Title">
    <w:name w:val="Title"/>
    <w:basedOn w:val="Normal"/>
    <w:next w:val="Normal"/>
    <w:link w:val="TitleChar"/>
    <w:uiPriority w:val="10"/>
    <w:qFormat/>
    <w:rsid w:val="009E13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3D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D47E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9047F"/>
    <w:pPr>
      <w:ind w:left="720"/>
      <w:contextualSpacing/>
    </w:pPr>
  </w:style>
  <w:style w:type="character" w:customStyle="1" w:styleId="Heading2Char">
    <w:name w:val="Heading 2 Char"/>
    <w:basedOn w:val="DefaultParagraphFont"/>
    <w:link w:val="Heading2"/>
    <w:uiPriority w:val="9"/>
    <w:rsid w:val="00C158DD"/>
    <w:rPr>
      <w:rFonts w:eastAsiaTheme="majorEastAsia" w:cstheme="minorHAnsi"/>
      <w:color w:val="2F5496" w:themeColor="accent1" w:themeShade="BF"/>
      <w:sz w:val="26"/>
      <w:szCs w:val="26"/>
    </w:rPr>
  </w:style>
  <w:style w:type="paragraph" w:customStyle="1" w:styleId="Default">
    <w:name w:val="Default"/>
    <w:rsid w:val="00C158DD"/>
    <w:pPr>
      <w:autoSpaceDE w:val="0"/>
      <w:autoSpaceDN w:val="0"/>
      <w:adjustRightInd w:val="0"/>
    </w:pPr>
    <w:rPr>
      <w:rFonts w:ascii="Calibri" w:hAnsi="Calibri" w:cs="Calibri"/>
      <w:color w:val="000000"/>
      <w:lang w:bidi="bo-CN"/>
    </w:rPr>
  </w:style>
  <w:style w:type="character" w:customStyle="1" w:styleId="Heading3Char">
    <w:name w:val="Heading 3 Char"/>
    <w:basedOn w:val="DefaultParagraphFont"/>
    <w:link w:val="Heading3"/>
    <w:uiPriority w:val="9"/>
    <w:rsid w:val="00032AB8"/>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874496"/>
  </w:style>
  <w:style w:type="paragraph" w:styleId="FootnoteText">
    <w:name w:val="footnote text"/>
    <w:basedOn w:val="Normal"/>
    <w:link w:val="FootnoteTextChar"/>
    <w:uiPriority w:val="99"/>
    <w:semiHidden/>
    <w:unhideWhenUsed/>
    <w:rsid w:val="00985FBB"/>
    <w:rPr>
      <w:sz w:val="20"/>
      <w:szCs w:val="20"/>
    </w:rPr>
  </w:style>
  <w:style w:type="character" w:customStyle="1" w:styleId="FootnoteTextChar">
    <w:name w:val="Footnote Text Char"/>
    <w:basedOn w:val="DefaultParagraphFont"/>
    <w:link w:val="FootnoteText"/>
    <w:uiPriority w:val="99"/>
    <w:semiHidden/>
    <w:rsid w:val="00985FBB"/>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985FBB"/>
    <w:rPr>
      <w:vertAlign w:val="superscript"/>
    </w:rPr>
  </w:style>
  <w:style w:type="character" w:styleId="Hyperlink">
    <w:name w:val="Hyperlink"/>
    <w:basedOn w:val="DefaultParagraphFont"/>
    <w:uiPriority w:val="99"/>
    <w:unhideWhenUsed/>
    <w:rsid w:val="0042111C"/>
    <w:rPr>
      <w:color w:val="0000FF"/>
      <w:u w:val="single"/>
    </w:rPr>
  </w:style>
  <w:style w:type="character" w:styleId="UnresolvedMention">
    <w:name w:val="Unresolved Mention"/>
    <w:basedOn w:val="DefaultParagraphFont"/>
    <w:uiPriority w:val="99"/>
    <w:semiHidden/>
    <w:unhideWhenUsed/>
    <w:rsid w:val="0042111C"/>
    <w:rPr>
      <w:color w:val="605E5C"/>
      <w:shd w:val="clear" w:color="auto" w:fill="E1DFDD"/>
    </w:rPr>
  </w:style>
  <w:style w:type="character" w:customStyle="1" w:styleId="apple-converted-space">
    <w:name w:val="apple-converted-space"/>
    <w:basedOn w:val="DefaultParagraphFont"/>
    <w:rsid w:val="003D7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950917">
      <w:bodyDiv w:val="1"/>
      <w:marLeft w:val="0"/>
      <w:marRight w:val="0"/>
      <w:marTop w:val="0"/>
      <w:marBottom w:val="0"/>
      <w:divBdr>
        <w:top w:val="none" w:sz="0" w:space="0" w:color="auto"/>
        <w:left w:val="none" w:sz="0" w:space="0" w:color="auto"/>
        <w:bottom w:val="none" w:sz="0" w:space="0" w:color="auto"/>
        <w:right w:val="none" w:sz="0" w:space="0" w:color="auto"/>
      </w:divBdr>
    </w:div>
    <w:div w:id="1586067706">
      <w:bodyDiv w:val="1"/>
      <w:marLeft w:val="0"/>
      <w:marRight w:val="0"/>
      <w:marTop w:val="0"/>
      <w:marBottom w:val="0"/>
      <w:divBdr>
        <w:top w:val="none" w:sz="0" w:space="0" w:color="auto"/>
        <w:left w:val="none" w:sz="0" w:space="0" w:color="auto"/>
        <w:bottom w:val="none" w:sz="0" w:space="0" w:color="auto"/>
        <w:right w:val="none" w:sz="0" w:space="0" w:color="auto"/>
      </w:divBdr>
      <w:divsChild>
        <w:div w:id="1202354767">
          <w:marLeft w:val="480"/>
          <w:marRight w:val="0"/>
          <w:marTop w:val="0"/>
          <w:marBottom w:val="0"/>
          <w:divBdr>
            <w:top w:val="none" w:sz="0" w:space="0" w:color="auto"/>
            <w:left w:val="none" w:sz="0" w:space="0" w:color="auto"/>
            <w:bottom w:val="none" w:sz="0" w:space="0" w:color="auto"/>
            <w:right w:val="none" w:sz="0" w:space="0" w:color="auto"/>
          </w:divBdr>
          <w:divsChild>
            <w:div w:id="2016229092">
              <w:marLeft w:val="0"/>
              <w:marRight w:val="0"/>
              <w:marTop w:val="0"/>
              <w:marBottom w:val="0"/>
              <w:divBdr>
                <w:top w:val="none" w:sz="0" w:space="0" w:color="auto"/>
                <w:left w:val="none" w:sz="0" w:space="0" w:color="auto"/>
                <w:bottom w:val="none" w:sz="0" w:space="0" w:color="auto"/>
                <w:right w:val="none" w:sz="0" w:space="0" w:color="auto"/>
              </w:divBdr>
            </w:div>
            <w:div w:id="1585139053">
              <w:marLeft w:val="0"/>
              <w:marRight w:val="0"/>
              <w:marTop w:val="0"/>
              <w:marBottom w:val="0"/>
              <w:divBdr>
                <w:top w:val="none" w:sz="0" w:space="0" w:color="auto"/>
                <w:left w:val="none" w:sz="0" w:space="0" w:color="auto"/>
                <w:bottom w:val="none" w:sz="0" w:space="0" w:color="auto"/>
                <w:right w:val="none" w:sz="0" w:space="0" w:color="auto"/>
              </w:divBdr>
            </w:div>
            <w:div w:id="1838420623">
              <w:marLeft w:val="0"/>
              <w:marRight w:val="0"/>
              <w:marTop w:val="0"/>
              <w:marBottom w:val="0"/>
              <w:divBdr>
                <w:top w:val="none" w:sz="0" w:space="0" w:color="auto"/>
                <w:left w:val="none" w:sz="0" w:space="0" w:color="auto"/>
                <w:bottom w:val="none" w:sz="0" w:space="0" w:color="auto"/>
                <w:right w:val="none" w:sz="0" w:space="0" w:color="auto"/>
              </w:divBdr>
            </w:div>
            <w:div w:id="2027711479">
              <w:marLeft w:val="0"/>
              <w:marRight w:val="0"/>
              <w:marTop w:val="0"/>
              <w:marBottom w:val="0"/>
              <w:divBdr>
                <w:top w:val="none" w:sz="0" w:space="0" w:color="auto"/>
                <w:left w:val="none" w:sz="0" w:space="0" w:color="auto"/>
                <w:bottom w:val="none" w:sz="0" w:space="0" w:color="auto"/>
                <w:right w:val="none" w:sz="0" w:space="0" w:color="auto"/>
              </w:divBdr>
            </w:div>
            <w:div w:id="2142065385">
              <w:marLeft w:val="0"/>
              <w:marRight w:val="0"/>
              <w:marTop w:val="0"/>
              <w:marBottom w:val="0"/>
              <w:divBdr>
                <w:top w:val="none" w:sz="0" w:space="0" w:color="auto"/>
                <w:left w:val="none" w:sz="0" w:space="0" w:color="auto"/>
                <w:bottom w:val="none" w:sz="0" w:space="0" w:color="auto"/>
                <w:right w:val="none" w:sz="0" w:space="0" w:color="auto"/>
              </w:divBdr>
            </w:div>
            <w:div w:id="1469125332">
              <w:marLeft w:val="0"/>
              <w:marRight w:val="0"/>
              <w:marTop w:val="0"/>
              <w:marBottom w:val="0"/>
              <w:divBdr>
                <w:top w:val="none" w:sz="0" w:space="0" w:color="auto"/>
                <w:left w:val="none" w:sz="0" w:space="0" w:color="auto"/>
                <w:bottom w:val="none" w:sz="0" w:space="0" w:color="auto"/>
                <w:right w:val="none" w:sz="0" w:space="0" w:color="auto"/>
              </w:divBdr>
            </w:div>
            <w:div w:id="1585144414">
              <w:marLeft w:val="0"/>
              <w:marRight w:val="0"/>
              <w:marTop w:val="0"/>
              <w:marBottom w:val="0"/>
              <w:divBdr>
                <w:top w:val="none" w:sz="0" w:space="0" w:color="auto"/>
                <w:left w:val="none" w:sz="0" w:space="0" w:color="auto"/>
                <w:bottom w:val="none" w:sz="0" w:space="0" w:color="auto"/>
                <w:right w:val="none" w:sz="0" w:space="0" w:color="auto"/>
              </w:divBdr>
            </w:div>
            <w:div w:id="1188836367">
              <w:marLeft w:val="0"/>
              <w:marRight w:val="0"/>
              <w:marTop w:val="0"/>
              <w:marBottom w:val="0"/>
              <w:divBdr>
                <w:top w:val="none" w:sz="0" w:space="0" w:color="auto"/>
                <w:left w:val="none" w:sz="0" w:space="0" w:color="auto"/>
                <w:bottom w:val="none" w:sz="0" w:space="0" w:color="auto"/>
                <w:right w:val="none" w:sz="0" w:space="0" w:color="auto"/>
              </w:divBdr>
            </w:div>
            <w:div w:id="981154922">
              <w:marLeft w:val="0"/>
              <w:marRight w:val="0"/>
              <w:marTop w:val="0"/>
              <w:marBottom w:val="0"/>
              <w:divBdr>
                <w:top w:val="none" w:sz="0" w:space="0" w:color="auto"/>
                <w:left w:val="none" w:sz="0" w:space="0" w:color="auto"/>
                <w:bottom w:val="none" w:sz="0" w:space="0" w:color="auto"/>
                <w:right w:val="none" w:sz="0" w:space="0" w:color="auto"/>
              </w:divBdr>
            </w:div>
            <w:div w:id="1196582397">
              <w:marLeft w:val="0"/>
              <w:marRight w:val="0"/>
              <w:marTop w:val="0"/>
              <w:marBottom w:val="0"/>
              <w:divBdr>
                <w:top w:val="none" w:sz="0" w:space="0" w:color="auto"/>
                <w:left w:val="none" w:sz="0" w:space="0" w:color="auto"/>
                <w:bottom w:val="none" w:sz="0" w:space="0" w:color="auto"/>
                <w:right w:val="none" w:sz="0" w:space="0" w:color="auto"/>
              </w:divBdr>
            </w:div>
            <w:div w:id="1337727548">
              <w:marLeft w:val="0"/>
              <w:marRight w:val="0"/>
              <w:marTop w:val="0"/>
              <w:marBottom w:val="0"/>
              <w:divBdr>
                <w:top w:val="none" w:sz="0" w:space="0" w:color="auto"/>
                <w:left w:val="none" w:sz="0" w:space="0" w:color="auto"/>
                <w:bottom w:val="none" w:sz="0" w:space="0" w:color="auto"/>
                <w:right w:val="none" w:sz="0" w:space="0" w:color="auto"/>
              </w:divBdr>
            </w:div>
            <w:div w:id="1886138139">
              <w:marLeft w:val="0"/>
              <w:marRight w:val="0"/>
              <w:marTop w:val="0"/>
              <w:marBottom w:val="0"/>
              <w:divBdr>
                <w:top w:val="none" w:sz="0" w:space="0" w:color="auto"/>
                <w:left w:val="none" w:sz="0" w:space="0" w:color="auto"/>
                <w:bottom w:val="none" w:sz="0" w:space="0" w:color="auto"/>
                <w:right w:val="none" w:sz="0" w:space="0" w:color="auto"/>
              </w:divBdr>
            </w:div>
            <w:div w:id="709886360">
              <w:marLeft w:val="0"/>
              <w:marRight w:val="0"/>
              <w:marTop w:val="0"/>
              <w:marBottom w:val="0"/>
              <w:divBdr>
                <w:top w:val="none" w:sz="0" w:space="0" w:color="auto"/>
                <w:left w:val="none" w:sz="0" w:space="0" w:color="auto"/>
                <w:bottom w:val="none" w:sz="0" w:space="0" w:color="auto"/>
                <w:right w:val="none" w:sz="0" w:space="0" w:color="auto"/>
              </w:divBdr>
            </w:div>
            <w:div w:id="931468724">
              <w:marLeft w:val="0"/>
              <w:marRight w:val="0"/>
              <w:marTop w:val="0"/>
              <w:marBottom w:val="0"/>
              <w:divBdr>
                <w:top w:val="none" w:sz="0" w:space="0" w:color="auto"/>
                <w:left w:val="none" w:sz="0" w:space="0" w:color="auto"/>
                <w:bottom w:val="none" w:sz="0" w:space="0" w:color="auto"/>
                <w:right w:val="none" w:sz="0" w:space="0" w:color="auto"/>
              </w:divBdr>
            </w:div>
            <w:div w:id="547568512">
              <w:marLeft w:val="0"/>
              <w:marRight w:val="0"/>
              <w:marTop w:val="0"/>
              <w:marBottom w:val="0"/>
              <w:divBdr>
                <w:top w:val="none" w:sz="0" w:space="0" w:color="auto"/>
                <w:left w:val="none" w:sz="0" w:space="0" w:color="auto"/>
                <w:bottom w:val="none" w:sz="0" w:space="0" w:color="auto"/>
                <w:right w:val="none" w:sz="0" w:space="0" w:color="auto"/>
              </w:divBdr>
            </w:div>
            <w:div w:id="1124738326">
              <w:marLeft w:val="0"/>
              <w:marRight w:val="0"/>
              <w:marTop w:val="0"/>
              <w:marBottom w:val="0"/>
              <w:divBdr>
                <w:top w:val="none" w:sz="0" w:space="0" w:color="auto"/>
                <w:left w:val="none" w:sz="0" w:space="0" w:color="auto"/>
                <w:bottom w:val="none" w:sz="0" w:space="0" w:color="auto"/>
                <w:right w:val="none" w:sz="0" w:space="0" w:color="auto"/>
              </w:divBdr>
            </w:div>
            <w:div w:id="1237587848">
              <w:marLeft w:val="0"/>
              <w:marRight w:val="0"/>
              <w:marTop w:val="0"/>
              <w:marBottom w:val="0"/>
              <w:divBdr>
                <w:top w:val="none" w:sz="0" w:space="0" w:color="auto"/>
                <w:left w:val="none" w:sz="0" w:space="0" w:color="auto"/>
                <w:bottom w:val="none" w:sz="0" w:space="0" w:color="auto"/>
                <w:right w:val="none" w:sz="0" w:space="0" w:color="auto"/>
              </w:divBdr>
            </w:div>
            <w:div w:id="1086612328">
              <w:marLeft w:val="0"/>
              <w:marRight w:val="0"/>
              <w:marTop w:val="0"/>
              <w:marBottom w:val="0"/>
              <w:divBdr>
                <w:top w:val="none" w:sz="0" w:space="0" w:color="auto"/>
                <w:left w:val="none" w:sz="0" w:space="0" w:color="auto"/>
                <w:bottom w:val="none" w:sz="0" w:space="0" w:color="auto"/>
                <w:right w:val="none" w:sz="0" w:space="0" w:color="auto"/>
              </w:divBdr>
            </w:div>
            <w:div w:id="792559372">
              <w:marLeft w:val="0"/>
              <w:marRight w:val="0"/>
              <w:marTop w:val="0"/>
              <w:marBottom w:val="0"/>
              <w:divBdr>
                <w:top w:val="none" w:sz="0" w:space="0" w:color="auto"/>
                <w:left w:val="none" w:sz="0" w:space="0" w:color="auto"/>
                <w:bottom w:val="none" w:sz="0" w:space="0" w:color="auto"/>
                <w:right w:val="none" w:sz="0" w:space="0" w:color="auto"/>
              </w:divBdr>
            </w:div>
            <w:div w:id="807552900">
              <w:marLeft w:val="0"/>
              <w:marRight w:val="0"/>
              <w:marTop w:val="0"/>
              <w:marBottom w:val="0"/>
              <w:divBdr>
                <w:top w:val="none" w:sz="0" w:space="0" w:color="auto"/>
                <w:left w:val="none" w:sz="0" w:space="0" w:color="auto"/>
                <w:bottom w:val="none" w:sz="0" w:space="0" w:color="auto"/>
                <w:right w:val="none" w:sz="0" w:space="0" w:color="auto"/>
              </w:divBdr>
            </w:div>
            <w:div w:id="563878167">
              <w:marLeft w:val="0"/>
              <w:marRight w:val="0"/>
              <w:marTop w:val="0"/>
              <w:marBottom w:val="0"/>
              <w:divBdr>
                <w:top w:val="none" w:sz="0" w:space="0" w:color="auto"/>
                <w:left w:val="none" w:sz="0" w:space="0" w:color="auto"/>
                <w:bottom w:val="none" w:sz="0" w:space="0" w:color="auto"/>
                <w:right w:val="none" w:sz="0" w:space="0" w:color="auto"/>
              </w:divBdr>
            </w:div>
            <w:div w:id="490216330">
              <w:marLeft w:val="0"/>
              <w:marRight w:val="0"/>
              <w:marTop w:val="0"/>
              <w:marBottom w:val="0"/>
              <w:divBdr>
                <w:top w:val="none" w:sz="0" w:space="0" w:color="auto"/>
                <w:left w:val="none" w:sz="0" w:space="0" w:color="auto"/>
                <w:bottom w:val="none" w:sz="0" w:space="0" w:color="auto"/>
                <w:right w:val="none" w:sz="0" w:space="0" w:color="auto"/>
              </w:divBdr>
            </w:div>
            <w:div w:id="243732561">
              <w:marLeft w:val="0"/>
              <w:marRight w:val="0"/>
              <w:marTop w:val="0"/>
              <w:marBottom w:val="0"/>
              <w:divBdr>
                <w:top w:val="none" w:sz="0" w:space="0" w:color="auto"/>
                <w:left w:val="none" w:sz="0" w:space="0" w:color="auto"/>
                <w:bottom w:val="none" w:sz="0" w:space="0" w:color="auto"/>
                <w:right w:val="none" w:sz="0" w:space="0" w:color="auto"/>
              </w:divBdr>
            </w:div>
            <w:div w:id="1919632981">
              <w:marLeft w:val="0"/>
              <w:marRight w:val="0"/>
              <w:marTop w:val="0"/>
              <w:marBottom w:val="0"/>
              <w:divBdr>
                <w:top w:val="none" w:sz="0" w:space="0" w:color="auto"/>
                <w:left w:val="none" w:sz="0" w:space="0" w:color="auto"/>
                <w:bottom w:val="none" w:sz="0" w:space="0" w:color="auto"/>
                <w:right w:val="none" w:sz="0" w:space="0" w:color="auto"/>
              </w:divBdr>
            </w:div>
            <w:div w:id="1349680025">
              <w:marLeft w:val="0"/>
              <w:marRight w:val="0"/>
              <w:marTop w:val="0"/>
              <w:marBottom w:val="0"/>
              <w:divBdr>
                <w:top w:val="none" w:sz="0" w:space="0" w:color="auto"/>
                <w:left w:val="none" w:sz="0" w:space="0" w:color="auto"/>
                <w:bottom w:val="none" w:sz="0" w:space="0" w:color="auto"/>
                <w:right w:val="none" w:sz="0" w:space="0" w:color="auto"/>
              </w:divBdr>
            </w:div>
            <w:div w:id="1302077477">
              <w:marLeft w:val="0"/>
              <w:marRight w:val="0"/>
              <w:marTop w:val="0"/>
              <w:marBottom w:val="0"/>
              <w:divBdr>
                <w:top w:val="none" w:sz="0" w:space="0" w:color="auto"/>
                <w:left w:val="none" w:sz="0" w:space="0" w:color="auto"/>
                <w:bottom w:val="none" w:sz="0" w:space="0" w:color="auto"/>
                <w:right w:val="none" w:sz="0" w:space="0" w:color="auto"/>
              </w:divBdr>
            </w:div>
            <w:div w:id="1156873512">
              <w:marLeft w:val="0"/>
              <w:marRight w:val="0"/>
              <w:marTop w:val="0"/>
              <w:marBottom w:val="0"/>
              <w:divBdr>
                <w:top w:val="none" w:sz="0" w:space="0" w:color="auto"/>
                <w:left w:val="none" w:sz="0" w:space="0" w:color="auto"/>
                <w:bottom w:val="none" w:sz="0" w:space="0" w:color="auto"/>
                <w:right w:val="none" w:sz="0" w:space="0" w:color="auto"/>
              </w:divBdr>
            </w:div>
            <w:div w:id="174812994">
              <w:marLeft w:val="0"/>
              <w:marRight w:val="0"/>
              <w:marTop w:val="0"/>
              <w:marBottom w:val="0"/>
              <w:divBdr>
                <w:top w:val="none" w:sz="0" w:space="0" w:color="auto"/>
                <w:left w:val="none" w:sz="0" w:space="0" w:color="auto"/>
                <w:bottom w:val="none" w:sz="0" w:space="0" w:color="auto"/>
                <w:right w:val="none" w:sz="0" w:space="0" w:color="auto"/>
              </w:divBdr>
            </w:div>
            <w:div w:id="1396784150">
              <w:marLeft w:val="0"/>
              <w:marRight w:val="0"/>
              <w:marTop w:val="0"/>
              <w:marBottom w:val="0"/>
              <w:divBdr>
                <w:top w:val="none" w:sz="0" w:space="0" w:color="auto"/>
                <w:left w:val="none" w:sz="0" w:space="0" w:color="auto"/>
                <w:bottom w:val="none" w:sz="0" w:space="0" w:color="auto"/>
                <w:right w:val="none" w:sz="0" w:space="0" w:color="auto"/>
              </w:divBdr>
            </w:div>
            <w:div w:id="893348946">
              <w:marLeft w:val="0"/>
              <w:marRight w:val="0"/>
              <w:marTop w:val="0"/>
              <w:marBottom w:val="0"/>
              <w:divBdr>
                <w:top w:val="none" w:sz="0" w:space="0" w:color="auto"/>
                <w:left w:val="none" w:sz="0" w:space="0" w:color="auto"/>
                <w:bottom w:val="none" w:sz="0" w:space="0" w:color="auto"/>
                <w:right w:val="none" w:sz="0" w:space="0" w:color="auto"/>
              </w:divBdr>
            </w:div>
            <w:div w:id="785543949">
              <w:marLeft w:val="0"/>
              <w:marRight w:val="0"/>
              <w:marTop w:val="0"/>
              <w:marBottom w:val="0"/>
              <w:divBdr>
                <w:top w:val="none" w:sz="0" w:space="0" w:color="auto"/>
                <w:left w:val="none" w:sz="0" w:space="0" w:color="auto"/>
                <w:bottom w:val="none" w:sz="0" w:space="0" w:color="auto"/>
                <w:right w:val="none" w:sz="0" w:space="0" w:color="auto"/>
              </w:divBdr>
            </w:div>
            <w:div w:id="1920289511">
              <w:marLeft w:val="0"/>
              <w:marRight w:val="0"/>
              <w:marTop w:val="0"/>
              <w:marBottom w:val="0"/>
              <w:divBdr>
                <w:top w:val="none" w:sz="0" w:space="0" w:color="auto"/>
                <w:left w:val="none" w:sz="0" w:space="0" w:color="auto"/>
                <w:bottom w:val="none" w:sz="0" w:space="0" w:color="auto"/>
                <w:right w:val="none" w:sz="0" w:space="0" w:color="auto"/>
              </w:divBdr>
            </w:div>
            <w:div w:id="542520805">
              <w:marLeft w:val="0"/>
              <w:marRight w:val="0"/>
              <w:marTop w:val="0"/>
              <w:marBottom w:val="0"/>
              <w:divBdr>
                <w:top w:val="none" w:sz="0" w:space="0" w:color="auto"/>
                <w:left w:val="none" w:sz="0" w:space="0" w:color="auto"/>
                <w:bottom w:val="none" w:sz="0" w:space="0" w:color="auto"/>
                <w:right w:val="none" w:sz="0" w:space="0" w:color="auto"/>
              </w:divBdr>
            </w:div>
            <w:div w:id="458769260">
              <w:marLeft w:val="0"/>
              <w:marRight w:val="0"/>
              <w:marTop w:val="0"/>
              <w:marBottom w:val="0"/>
              <w:divBdr>
                <w:top w:val="none" w:sz="0" w:space="0" w:color="auto"/>
                <w:left w:val="none" w:sz="0" w:space="0" w:color="auto"/>
                <w:bottom w:val="none" w:sz="0" w:space="0" w:color="auto"/>
                <w:right w:val="none" w:sz="0" w:space="0" w:color="auto"/>
              </w:divBdr>
            </w:div>
            <w:div w:id="887031827">
              <w:marLeft w:val="0"/>
              <w:marRight w:val="0"/>
              <w:marTop w:val="0"/>
              <w:marBottom w:val="0"/>
              <w:divBdr>
                <w:top w:val="none" w:sz="0" w:space="0" w:color="auto"/>
                <w:left w:val="none" w:sz="0" w:space="0" w:color="auto"/>
                <w:bottom w:val="none" w:sz="0" w:space="0" w:color="auto"/>
                <w:right w:val="none" w:sz="0" w:space="0" w:color="auto"/>
              </w:divBdr>
            </w:div>
            <w:div w:id="977761421">
              <w:marLeft w:val="0"/>
              <w:marRight w:val="0"/>
              <w:marTop w:val="0"/>
              <w:marBottom w:val="0"/>
              <w:divBdr>
                <w:top w:val="none" w:sz="0" w:space="0" w:color="auto"/>
                <w:left w:val="none" w:sz="0" w:space="0" w:color="auto"/>
                <w:bottom w:val="none" w:sz="0" w:space="0" w:color="auto"/>
                <w:right w:val="none" w:sz="0" w:space="0" w:color="auto"/>
              </w:divBdr>
            </w:div>
            <w:div w:id="1976794040">
              <w:marLeft w:val="0"/>
              <w:marRight w:val="0"/>
              <w:marTop w:val="0"/>
              <w:marBottom w:val="0"/>
              <w:divBdr>
                <w:top w:val="none" w:sz="0" w:space="0" w:color="auto"/>
                <w:left w:val="none" w:sz="0" w:space="0" w:color="auto"/>
                <w:bottom w:val="none" w:sz="0" w:space="0" w:color="auto"/>
                <w:right w:val="none" w:sz="0" w:space="0" w:color="auto"/>
              </w:divBdr>
            </w:div>
            <w:div w:id="2119523569">
              <w:marLeft w:val="0"/>
              <w:marRight w:val="0"/>
              <w:marTop w:val="0"/>
              <w:marBottom w:val="0"/>
              <w:divBdr>
                <w:top w:val="none" w:sz="0" w:space="0" w:color="auto"/>
                <w:left w:val="none" w:sz="0" w:space="0" w:color="auto"/>
                <w:bottom w:val="none" w:sz="0" w:space="0" w:color="auto"/>
                <w:right w:val="none" w:sz="0" w:space="0" w:color="auto"/>
              </w:divBdr>
            </w:div>
            <w:div w:id="458499820">
              <w:marLeft w:val="0"/>
              <w:marRight w:val="0"/>
              <w:marTop w:val="0"/>
              <w:marBottom w:val="0"/>
              <w:divBdr>
                <w:top w:val="none" w:sz="0" w:space="0" w:color="auto"/>
                <w:left w:val="none" w:sz="0" w:space="0" w:color="auto"/>
                <w:bottom w:val="none" w:sz="0" w:space="0" w:color="auto"/>
                <w:right w:val="none" w:sz="0" w:space="0" w:color="auto"/>
              </w:divBdr>
            </w:div>
            <w:div w:id="1123234711">
              <w:marLeft w:val="0"/>
              <w:marRight w:val="0"/>
              <w:marTop w:val="0"/>
              <w:marBottom w:val="0"/>
              <w:divBdr>
                <w:top w:val="none" w:sz="0" w:space="0" w:color="auto"/>
                <w:left w:val="none" w:sz="0" w:space="0" w:color="auto"/>
                <w:bottom w:val="none" w:sz="0" w:space="0" w:color="auto"/>
                <w:right w:val="none" w:sz="0" w:space="0" w:color="auto"/>
              </w:divBdr>
            </w:div>
            <w:div w:id="761485313">
              <w:marLeft w:val="0"/>
              <w:marRight w:val="0"/>
              <w:marTop w:val="0"/>
              <w:marBottom w:val="0"/>
              <w:divBdr>
                <w:top w:val="none" w:sz="0" w:space="0" w:color="auto"/>
                <w:left w:val="none" w:sz="0" w:space="0" w:color="auto"/>
                <w:bottom w:val="none" w:sz="0" w:space="0" w:color="auto"/>
                <w:right w:val="none" w:sz="0" w:space="0" w:color="auto"/>
              </w:divBdr>
            </w:div>
            <w:div w:id="1279675264">
              <w:marLeft w:val="0"/>
              <w:marRight w:val="0"/>
              <w:marTop w:val="0"/>
              <w:marBottom w:val="0"/>
              <w:divBdr>
                <w:top w:val="none" w:sz="0" w:space="0" w:color="auto"/>
                <w:left w:val="none" w:sz="0" w:space="0" w:color="auto"/>
                <w:bottom w:val="none" w:sz="0" w:space="0" w:color="auto"/>
                <w:right w:val="none" w:sz="0" w:space="0" w:color="auto"/>
              </w:divBdr>
            </w:div>
            <w:div w:id="286200723">
              <w:marLeft w:val="0"/>
              <w:marRight w:val="0"/>
              <w:marTop w:val="0"/>
              <w:marBottom w:val="0"/>
              <w:divBdr>
                <w:top w:val="none" w:sz="0" w:space="0" w:color="auto"/>
                <w:left w:val="none" w:sz="0" w:space="0" w:color="auto"/>
                <w:bottom w:val="none" w:sz="0" w:space="0" w:color="auto"/>
                <w:right w:val="none" w:sz="0" w:space="0" w:color="auto"/>
              </w:divBdr>
            </w:div>
            <w:div w:id="1888881353">
              <w:marLeft w:val="0"/>
              <w:marRight w:val="0"/>
              <w:marTop w:val="0"/>
              <w:marBottom w:val="0"/>
              <w:divBdr>
                <w:top w:val="none" w:sz="0" w:space="0" w:color="auto"/>
                <w:left w:val="none" w:sz="0" w:space="0" w:color="auto"/>
                <w:bottom w:val="none" w:sz="0" w:space="0" w:color="auto"/>
                <w:right w:val="none" w:sz="0" w:space="0" w:color="auto"/>
              </w:divBdr>
            </w:div>
            <w:div w:id="1180243931">
              <w:marLeft w:val="0"/>
              <w:marRight w:val="0"/>
              <w:marTop w:val="0"/>
              <w:marBottom w:val="0"/>
              <w:divBdr>
                <w:top w:val="none" w:sz="0" w:space="0" w:color="auto"/>
                <w:left w:val="none" w:sz="0" w:space="0" w:color="auto"/>
                <w:bottom w:val="none" w:sz="0" w:space="0" w:color="auto"/>
                <w:right w:val="none" w:sz="0" w:space="0" w:color="auto"/>
              </w:divBdr>
            </w:div>
            <w:div w:id="771586023">
              <w:marLeft w:val="0"/>
              <w:marRight w:val="0"/>
              <w:marTop w:val="0"/>
              <w:marBottom w:val="0"/>
              <w:divBdr>
                <w:top w:val="none" w:sz="0" w:space="0" w:color="auto"/>
                <w:left w:val="none" w:sz="0" w:space="0" w:color="auto"/>
                <w:bottom w:val="none" w:sz="0" w:space="0" w:color="auto"/>
                <w:right w:val="none" w:sz="0" w:space="0" w:color="auto"/>
              </w:divBdr>
            </w:div>
            <w:div w:id="1944921504">
              <w:marLeft w:val="0"/>
              <w:marRight w:val="0"/>
              <w:marTop w:val="0"/>
              <w:marBottom w:val="0"/>
              <w:divBdr>
                <w:top w:val="none" w:sz="0" w:space="0" w:color="auto"/>
                <w:left w:val="none" w:sz="0" w:space="0" w:color="auto"/>
                <w:bottom w:val="none" w:sz="0" w:space="0" w:color="auto"/>
                <w:right w:val="none" w:sz="0" w:space="0" w:color="auto"/>
              </w:divBdr>
            </w:div>
            <w:div w:id="260112496">
              <w:marLeft w:val="0"/>
              <w:marRight w:val="0"/>
              <w:marTop w:val="0"/>
              <w:marBottom w:val="0"/>
              <w:divBdr>
                <w:top w:val="none" w:sz="0" w:space="0" w:color="auto"/>
                <w:left w:val="none" w:sz="0" w:space="0" w:color="auto"/>
                <w:bottom w:val="none" w:sz="0" w:space="0" w:color="auto"/>
                <w:right w:val="none" w:sz="0" w:space="0" w:color="auto"/>
              </w:divBdr>
            </w:div>
            <w:div w:id="1099106270">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73642020">
              <w:marLeft w:val="0"/>
              <w:marRight w:val="0"/>
              <w:marTop w:val="0"/>
              <w:marBottom w:val="0"/>
              <w:divBdr>
                <w:top w:val="none" w:sz="0" w:space="0" w:color="auto"/>
                <w:left w:val="none" w:sz="0" w:space="0" w:color="auto"/>
                <w:bottom w:val="none" w:sz="0" w:space="0" w:color="auto"/>
                <w:right w:val="none" w:sz="0" w:space="0" w:color="auto"/>
              </w:divBdr>
            </w:div>
            <w:div w:id="703795599">
              <w:marLeft w:val="0"/>
              <w:marRight w:val="0"/>
              <w:marTop w:val="0"/>
              <w:marBottom w:val="0"/>
              <w:divBdr>
                <w:top w:val="none" w:sz="0" w:space="0" w:color="auto"/>
                <w:left w:val="none" w:sz="0" w:space="0" w:color="auto"/>
                <w:bottom w:val="none" w:sz="0" w:space="0" w:color="auto"/>
                <w:right w:val="none" w:sz="0" w:space="0" w:color="auto"/>
              </w:divBdr>
            </w:div>
            <w:div w:id="609316548">
              <w:marLeft w:val="0"/>
              <w:marRight w:val="0"/>
              <w:marTop w:val="0"/>
              <w:marBottom w:val="0"/>
              <w:divBdr>
                <w:top w:val="none" w:sz="0" w:space="0" w:color="auto"/>
                <w:left w:val="none" w:sz="0" w:space="0" w:color="auto"/>
                <w:bottom w:val="none" w:sz="0" w:space="0" w:color="auto"/>
                <w:right w:val="none" w:sz="0" w:space="0" w:color="auto"/>
              </w:divBdr>
            </w:div>
            <w:div w:id="1912808274">
              <w:marLeft w:val="0"/>
              <w:marRight w:val="0"/>
              <w:marTop w:val="0"/>
              <w:marBottom w:val="0"/>
              <w:divBdr>
                <w:top w:val="none" w:sz="0" w:space="0" w:color="auto"/>
                <w:left w:val="none" w:sz="0" w:space="0" w:color="auto"/>
                <w:bottom w:val="none" w:sz="0" w:space="0" w:color="auto"/>
                <w:right w:val="none" w:sz="0" w:space="0" w:color="auto"/>
              </w:divBdr>
            </w:div>
            <w:div w:id="368801030">
              <w:marLeft w:val="0"/>
              <w:marRight w:val="0"/>
              <w:marTop w:val="0"/>
              <w:marBottom w:val="0"/>
              <w:divBdr>
                <w:top w:val="none" w:sz="0" w:space="0" w:color="auto"/>
                <w:left w:val="none" w:sz="0" w:space="0" w:color="auto"/>
                <w:bottom w:val="none" w:sz="0" w:space="0" w:color="auto"/>
                <w:right w:val="none" w:sz="0" w:space="0" w:color="auto"/>
              </w:divBdr>
            </w:div>
            <w:div w:id="588001989">
              <w:marLeft w:val="0"/>
              <w:marRight w:val="0"/>
              <w:marTop w:val="0"/>
              <w:marBottom w:val="0"/>
              <w:divBdr>
                <w:top w:val="none" w:sz="0" w:space="0" w:color="auto"/>
                <w:left w:val="none" w:sz="0" w:space="0" w:color="auto"/>
                <w:bottom w:val="none" w:sz="0" w:space="0" w:color="auto"/>
                <w:right w:val="none" w:sz="0" w:space="0" w:color="auto"/>
              </w:divBdr>
            </w:div>
            <w:div w:id="1162115128">
              <w:marLeft w:val="0"/>
              <w:marRight w:val="0"/>
              <w:marTop w:val="0"/>
              <w:marBottom w:val="0"/>
              <w:divBdr>
                <w:top w:val="none" w:sz="0" w:space="0" w:color="auto"/>
                <w:left w:val="none" w:sz="0" w:space="0" w:color="auto"/>
                <w:bottom w:val="none" w:sz="0" w:space="0" w:color="auto"/>
                <w:right w:val="none" w:sz="0" w:space="0" w:color="auto"/>
              </w:divBdr>
            </w:div>
            <w:div w:id="627859962">
              <w:marLeft w:val="0"/>
              <w:marRight w:val="0"/>
              <w:marTop w:val="0"/>
              <w:marBottom w:val="0"/>
              <w:divBdr>
                <w:top w:val="none" w:sz="0" w:space="0" w:color="auto"/>
                <w:left w:val="none" w:sz="0" w:space="0" w:color="auto"/>
                <w:bottom w:val="none" w:sz="0" w:space="0" w:color="auto"/>
                <w:right w:val="none" w:sz="0" w:space="0" w:color="auto"/>
              </w:divBdr>
            </w:div>
            <w:div w:id="1290085323">
              <w:marLeft w:val="0"/>
              <w:marRight w:val="0"/>
              <w:marTop w:val="0"/>
              <w:marBottom w:val="0"/>
              <w:divBdr>
                <w:top w:val="none" w:sz="0" w:space="0" w:color="auto"/>
                <w:left w:val="none" w:sz="0" w:space="0" w:color="auto"/>
                <w:bottom w:val="none" w:sz="0" w:space="0" w:color="auto"/>
                <w:right w:val="none" w:sz="0" w:space="0" w:color="auto"/>
              </w:divBdr>
            </w:div>
            <w:div w:id="619728381">
              <w:marLeft w:val="0"/>
              <w:marRight w:val="0"/>
              <w:marTop w:val="0"/>
              <w:marBottom w:val="0"/>
              <w:divBdr>
                <w:top w:val="none" w:sz="0" w:space="0" w:color="auto"/>
                <w:left w:val="none" w:sz="0" w:space="0" w:color="auto"/>
                <w:bottom w:val="none" w:sz="0" w:space="0" w:color="auto"/>
                <w:right w:val="none" w:sz="0" w:space="0" w:color="auto"/>
              </w:divBdr>
            </w:div>
            <w:div w:id="244846765">
              <w:marLeft w:val="0"/>
              <w:marRight w:val="0"/>
              <w:marTop w:val="0"/>
              <w:marBottom w:val="0"/>
              <w:divBdr>
                <w:top w:val="none" w:sz="0" w:space="0" w:color="auto"/>
                <w:left w:val="none" w:sz="0" w:space="0" w:color="auto"/>
                <w:bottom w:val="none" w:sz="0" w:space="0" w:color="auto"/>
                <w:right w:val="none" w:sz="0" w:space="0" w:color="auto"/>
              </w:divBdr>
            </w:div>
            <w:div w:id="1057510884">
              <w:marLeft w:val="0"/>
              <w:marRight w:val="0"/>
              <w:marTop w:val="0"/>
              <w:marBottom w:val="0"/>
              <w:divBdr>
                <w:top w:val="none" w:sz="0" w:space="0" w:color="auto"/>
                <w:left w:val="none" w:sz="0" w:space="0" w:color="auto"/>
                <w:bottom w:val="none" w:sz="0" w:space="0" w:color="auto"/>
                <w:right w:val="none" w:sz="0" w:space="0" w:color="auto"/>
              </w:divBdr>
            </w:div>
            <w:div w:id="981933939">
              <w:marLeft w:val="0"/>
              <w:marRight w:val="0"/>
              <w:marTop w:val="0"/>
              <w:marBottom w:val="0"/>
              <w:divBdr>
                <w:top w:val="none" w:sz="0" w:space="0" w:color="auto"/>
                <w:left w:val="none" w:sz="0" w:space="0" w:color="auto"/>
                <w:bottom w:val="none" w:sz="0" w:space="0" w:color="auto"/>
                <w:right w:val="none" w:sz="0" w:space="0" w:color="auto"/>
              </w:divBdr>
            </w:div>
            <w:div w:id="427502131">
              <w:marLeft w:val="0"/>
              <w:marRight w:val="0"/>
              <w:marTop w:val="0"/>
              <w:marBottom w:val="0"/>
              <w:divBdr>
                <w:top w:val="none" w:sz="0" w:space="0" w:color="auto"/>
                <w:left w:val="none" w:sz="0" w:space="0" w:color="auto"/>
                <w:bottom w:val="none" w:sz="0" w:space="0" w:color="auto"/>
                <w:right w:val="none" w:sz="0" w:space="0" w:color="auto"/>
              </w:divBdr>
            </w:div>
            <w:div w:id="81605584">
              <w:marLeft w:val="0"/>
              <w:marRight w:val="0"/>
              <w:marTop w:val="0"/>
              <w:marBottom w:val="0"/>
              <w:divBdr>
                <w:top w:val="none" w:sz="0" w:space="0" w:color="auto"/>
                <w:left w:val="none" w:sz="0" w:space="0" w:color="auto"/>
                <w:bottom w:val="none" w:sz="0" w:space="0" w:color="auto"/>
                <w:right w:val="none" w:sz="0" w:space="0" w:color="auto"/>
              </w:divBdr>
            </w:div>
            <w:div w:id="1227690663">
              <w:marLeft w:val="0"/>
              <w:marRight w:val="0"/>
              <w:marTop w:val="0"/>
              <w:marBottom w:val="0"/>
              <w:divBdr>
                <w:top w:val="none" w:sz="0" w:space="0" w:color="auto"/>
                <w:left w:val="none" w:sz="0" w:space="0" w:color="auto"/>
                <w:bottom w:val="none" w:sz="0" w:space="0" w:color="auto"/>
                <w:right w:val="none" w:sz="0" w:space="0" w:color="auto"/>
              </w:divBdr>
            </w:div>
            <w:div w:id="648217697">
              <w:marLeft w:val="0"/>
              <w:marRight w:val="0"/>
              <w:marTop w:val="0"/>
              <w:marBottom w:val="0"/>
              <w:divBdr>
                <w:top w:val="none" w:sz="0" w:space="0" w:color="auto"/>
                <w:left w:val="none" w:sz="0" w:space="0" w:color="auto"/>
                <w:bottom w:val="none" w:sz="0" w:space="0" w:color="auto"/>
                <w:right w:val="none" w:sz="0" w:space="0" w:color="auto"/>
              </w:divBdr>
            </w:div>
            <w:div w:id="203564014">
              <w:marLeft w:val="0"/>
              <w:marRight w:val="0"/>
              <w:marTop w:val="0"/>
              <w:marBottom w:val="0"/>
              <w:divBdr>
                <w:top w:val="none" w:sz="0" w:space="0" w:color="auto"/>
                <w:left w:val="none" w:sz="0" w:space="0" w:color="auto"/>
                <w:bottom w:val="none" w:sz="0" w:space="0" w:color="auto"/>
                <w:right w:val="none" w:sz="0" w:space="0" w:color="auto"/>
              </w:divBdr>
            </w:div>
            <w:div w:id="1678190115">
              <w:marLeft w:val="0"/>
              <w:marRight w:val="0"/>
              <w:marTop w:val="0"/>
              <w:marBottom w:val="0"/>
              <w:divBdr>
                <w:top w:val="none" w:sz="0" w:space="0" w:color="auto"/>
                <w:left w:val="none" w:sz="0" w:space="0" w:color="auto"/>
                <w:bottom w:val="none" w:sz="0" w:space="0" w:color="auto"/>
                <w:right w:val="none" w:sz="0" w:space="0" w:color="auto"/>
              </w:divBdr>
            </w:div>
            <w:div w:id="256905419">
              <w:marLeft w:val="0"/>
              <w:marRight w:val="0"/>
              <w:marTop w:val="0"/>
              <w:marBottom w:val="0"/>
              <w:divBdr>
                <w:top w:val="none" w:sz="0" w:space="0" w:color="auto"/>
                <w:left w:val="none" w:sz="0" w:space="0" w:color="auto"/>
                <w:bottom w:val="none" w:sz="0" w:space="0" w:color="auto"/>
                <w:right w:val="none" w:sz="0" w:space="0" w:color="auto"/>
              </w:divBdr>
            </w:div>
            <w:div w:id="1432356951">
              <w:marLeft w:val="0"/>
              <w:marRight w:val="0"/>
              <w:marTop w:val="0"/>
              <w:marBottom w:val="0"/>
              <w:divBdr>
                <w:top w:val="none" w:sz="0" w:space="0" w:color="auto"/>
                <w:left w:val="none" w:sz="0" w:space="0" w:color="auto"/>
                <w:bottom w:val="none" w:sz="0" w:space="0" w:color="auto"/>
                <w:right w:val="none" w:sz="0" w:space="0" w:color="auto"/>
              </w:divBdr>
            </w:div>
            <w:div w:id="2126079613">
              <w:marLeft w:val="0"/>
              <w:marRight w:val="0"/>
              <w:marTop w:val="0"/>
              <w:marBottom w:val="0"/>
              <w:divBdr>
                <w:top w:val="none" w:sz="0" w:space="0" w:color="auto"/>
                <w:left w:val="none" w:sz="0" w:space="0" w:color="auto"/>
                <w:bottom w:val="none" w:sz="0" w:space="0" w:color="auto"/>
                <w:right w:val="none" w:sz="0" w:space="0" w:color="auto"/>
              </w:divBdr>
            </w:div>
            <w:div w:id="1803495545">
              <w:marLeft w:val="0"/>
              <w:marRight w:val="0"/>
              <w:marTop w:val="0"/>
              <w:marBottom w:val="0"/>
              <w:divBdr>
                <w:top w:val="none" w:sz="0" w:space="0" w:color="auto"/>
                <w:left w:val="none" w:sz="0" w:space="0" w:color="auto"/>
                <w:bottom w:val="none" w:sz="0" w:space="0" w:color="auto"/>
                <w:right w:val="none" w:sz="0" w:space="0" w:color="auto"/>
              </w:divBdr>
            </w:div>
            <w:div w:id="754131348">
              <w:marLeft w:val="0"/>
              <w:marRight w:val="0"/>
              <w:marTop w:val="0"/>
              <w:marBottom w:val="0"/>
              <w:divBdr>
                <w:top w:val="none" w:sz="0" w:space="0" w:color="auto"/>
                <w:left w:val="none" w:sz="0" w:space="0" w:color="auto"/>
                <w:bottom w:val="none" w:sz="0" w:space="0" w:color="auto"/>
                <w:right w:val="none" w:sz="0" w:space="0" w:color="auto"/>
              </w:divBdr>
            </w:div>
            <w:div w:id="1214461924">
              <w:marLeft w:val="0"/>
              <w:marRight w:val="0"/>
              <w:marTop w:val="0"/>
              <w:marBottom w:val="0"/>
              <w:divBdr>
                <w:top w:val="none" w:sz="0" w:space="0" w:color="auto"/>
                <w:left w:val="none" w:sz="0" w:space="0" w:color="auto"/>
                <w:bottom w:val="none" w:sz="0" w:space="0" w:color="auto"/>
                <w:right w:val="none" w:sz="0" w:space="0" w:color="auto"/>
              </w:divBdr>
            </w:div>
            <w:div w:id="939752938">
              <w:marLeft w:val="0"/>
              <w:marRight w:val="0"/>
              <w:marTop w:val="0"/>
              <w:marBottom w:val="0"/>
              <w:divBdr>
                <w:top w:val="none" w:sz="0" w:space="0" w:color="auto"/>
                <w:left w:val="none" w:sz="0" w:space="0" w:color="auto"/>
                <w:bottom w:val="none" w:sz="0" w:space="0" w:color="auto"/>
                <w:right w:val="none" w:sz="0" w:space="0" w:color="auto"/>
              </w:divBdr>
            </w:div>
            <w:div w:id="708918348">
              <w:marLeft w:val="0"/>
              <w:marRight w:val="0"/>
              <w:marTop w:val="0"/>
              <w:marBottom w:val="0"/>
              <w:divBdr>
                <w:top w:val="none" w:sz="0" w:space="0" w:color="auto"/>
                <w:left w:val="none" w:sz="0" w:space="0" w:color="auto"/>
                <w:bottom w:val="none" w:sz="0" w:space="0" w:color="auto"/>
                <w:right w:val="none" w:sz="0" w:space="0" w:color="auto"/>
              </w:divBdr>
            </w:div>
            <w:div w:id="994796409">
              <w:marLeft w:val="0"/>
              <w:marRight w:val="0"/>
              <w:marTop w:val="0"/>
              <w:marBottom w:val="0"/>
              <w:divBdr>
                <w:top w:val="none" w:sz="0" w:space="0" w:color="auto"/>
                <w:left w:val="none" w:sz="0" w:space="0" w:color="auto"/>
                <w:bottom w:val="none" w:sz="0" w:space="0" w:color="auto"/>
                <w:right w:val="none" w:sz="0" w:space="0" w:color="auto"/>
              </w:divBdr>
            </w:div>
            <w:div w:id="1056464619">
              <w:marLeft w:val="0"/>
              <w:marRight w:val="0"/>
              <w:marTop w:val="0"/>
              <w:marBottom w:val="0"/>
              <w:divBdr>
                <w:top w:val="none" w:sz="0" w:space="0" w:color="auto"/>
                <w:left w:val="none" w:sz="0" w:space="0" w:color="auto"/>
                <w:bottom w:val="none" w:sz="0" w:space="0" w:color="auto"/>
                <w:right w:val="none" w:sz="0" w:space="0" w:color="auto"/>
              </w:divBdr>
            </w:div>
            <w:div w:id="5055948">
              <w:marLeft w:val="0"/>
              <w:marRight w:val="0"/>
              <w:marTop w:val="0"/>
              <w:marBottom w:val="0"/>
              <w:divBdr>
                <w:top w:val="none" w:sz="0" w:space="0" w:color="auto"/>
                <w:left w:val="none" w:sz="0" w:space="0" w:color="auto"/>
                <w:bottom w:val="none" w:sz="0" w:space="0" w:color="auto"/>
                <w:right w:val="none" w:sz="0" w:space="0" w:color="auto"/>
              </w:divBdr>
            </w:div>
            <w:div w:id="261769511">
              <w:marLeft w:val="0"/>
              <w:marRight w:val="0"/>
              <w:marTop w:val="0"/>
              <w:marBottom w:val="0"/>
              <w:divBdr>
                <w:top w:val="none" w:sz="0" w:space="0" w:color="auto"/>
                <w:left w:val="none" w:sz="0" w:space="0" w:color="auto"/>
                <w:bottom w:val="none" w:sz="0" w:space="0" w:color="auto"/>
                <w:right w:val="none" w:sz="0" w:space="0" w:color="auto"/>
              </w:divBdr>
            </w:div>
            <w:div w:id="1899054328">
              <w:marLeft w:val="0"/>
              <w:marRight w:val="0"/>
              <w:marTop w:val="0"/>
              <w:marBottom w:val="0"/>
              <w:divBdr>
                <w:top w:val="none" w:sz="0" w:space="0" w:color="auto"/>
                <w:left w:val="none" w:sz="0" w:space="0" w:color="auto"/>
                <w:bottom w:val="none" w:sz="0" w:space="0" w:color="auto"/>
                <w:right w:val="none" w:sz="0" w:space="0" w:color="auto"/>
              </w:divBdr>
            </w:div>
            <w:div w:id="170603002">
              <w:marLeft w:val="0"/>
              <w:marRight w:val="0"/>
              <w:marTop w:val="0"/>
              <w:marBottom w:val="0"/>
              <w:divBdr>
                <w:top w:val="none" w:sz="0" w:space="0" w:color="auto"/>
                <w:left w:val="none" w:sz="0" w:space="0" w:color="auto"/>
                <w:bottom w:val="none" w:sz="0" w:space="0" w:color="auto"/>
                <w:right w:val="none" w:sz="0" w:space="0" w:color="auto"/>
              </w:divBdr>
            </w:div>
            <w:div w:id="1640918302">
              <w:marLeft w:val="0"/>
              <w:marRight w:val="0"/>
              <w:marTop w:val="0"/>
              <w:marBottom w:val="0"/>
              <w:divBdr>
                <w:top w:val="none" w:sz="0" w:space="0" w:color="auto"/>
                <w:left w:val="none" w:sz="0" w:space="0" w:color="auto"/>
                <w:bottom w:val="none" w:sz="0" w:space="0" w:color="auto"/>
                <w:right w:val="none" w:sz="0" w:space="0" w:color="auto"/>
              </w:divBdr>
            </w:div>
            <w:div w:id="983778903">
              <w:marLeft w:val="0"/>
              <w:marRight w:val="0"/>
              <w:marTop w:val="0"/>
              <w:marBottom w:val="0"/>
              <w:divBdr>
                <w:top w:val="none" w:sz="0" w:space="0" w:color="auto"/>
                <w:left w:val="none" w:sz="0" w:space="0" w:color="auto"/>
                <w:bottom w:val="none" w:sz="0" w:space="0" w:color="auto"/>
                <w:right w:val="none" w:sz="0" w:space="0" w:color="auto"/>
              </w:divBdr>
            </w:div>
            <w:div w:id="230240491">
              <w:marLeft w:val="0"/>
              <w:marRight w:val="0"/>
              <w:marTop w:val="0"/>
              <w:marBottom w:val="0"/>
              <w:divBdr>
                <w:top w:val="none" w:sz="0" w:space="0" w:color="auto"/>
                <w:left w:val="none" w:sz="0" w:space="0" w:color="auto"/>
                <w:bottom w:val="none" w:sz="0" w:space="0" w:color="auto"/>
                <w:right w:val="none" w:sz="0" w:space="0" w:color="auto"/>
              </w:divBdr>
            </w:div>
            <w:div w:id="1156533133">
              <w:marLeft w:val="0"/>
              <w:marRight w:val="0"/>
              <w:marTop w:val="0"/>
              <w:marBottom w:val="0"/>
              <w:divBdr>
                <w:top w:val="none" w:sz="0" w:space="0" w:color="auto"/>
                <w:left w:val="none" w:sz="0" w:space="0" w:color="auto"/>
                <w:bottom w:val="none" w:sz="0" w:space="0" w:color="auto"/>
                <w:right w:val="none" w:sz="0" w:space="0" w:color="auto"/>
              </w:divBdr>
            </w:div>
            <w:div w:id="1880126594">
              <w:marLeft w:val="0"/>
              <w:marRight w:val="0"/>
              <w:marTop w:val="0"/>
              <w:marBottom w:val="0"/>
              <w:divBdr>
                <w:top w:val="none" w:sz="0" w:space="0" w:color="auto"/>
                <w:left w:val="none" w:sz="0" w:space="0" w:color="auto"/>
                <w:bottom w:val="none" w:sz="0" w:space="0" w:color="auto"/>
                <w:right w:val="none" w:sz="0" w:space="0" w:color="auto"/>
              </w:divBdr>
            </w:div>
            <w:div w:id="1493177176">
              <w:marLeft w:val="0"/>
              <w:marRight w:val="0"/>
              <w:marTop w:val="0"/>
              <w:marBottom w:val="0"/>
              <w:divBdr>
                <w:top w:val="none" w:sz="0" w:space="0" w:color="auto"/>
                <w:left w:val="none" w:sz="0" w:space="0" w:color="auto"/>
                <w:bottom w:val="none" w:sz="0" w:space="0" w:color="auto"/>
                <w:right w:val="none" w:sz="0" w:space="0" w:color="auto"/>
              </w:divBdr>
            </w:div>
            <w:div w:id="402921778">
              <w:marLeft w:val="0"/>
              <w:marRight w:val="0"/>
              <w:marTop w:val="0"/>
              <w:marBottom w:val="0"/>
              <w:divBdr>
                <w:top w:val="none" w:sz="0" w:space="0" w:color="auto"/>
                <w:left w:val="none" w:sz="0" w:space="0" w:color="auto"/>
                <w:bottom w:val="none" w:sz="0" w:space="0" w:color="auto"/>
                <w:right w:val="none" w:sz="0" w:space="0" w:color="auto"/>
              </w:divBdr>
            </w:div>
            <w:div w:id="728965370">
              <w:marLeft w:val="0"/>
              <w:marRight w:val="0"/>
              <w:marTop w:val="0"/>
              <w:marBottom w:val="0"/>
              <w:divBdr>
                <w:top w:val="none" w:sz="0" w:space="0" w:color="auto"/>
                <w:left w:val="none" w:sz="0" w:space="0" w:color="auto"/>
                <w:bottom w:val="none" w:sz="0" w:space="0" w:color="auto"/>
                <w:right w:val="none" w:sz="0" w:space="0" w:color="auto"/>
              </w:divBdr>
            </w:div>
            <w:div w:id="708800253">
              <w:marLeft w:val="0"/>
              <w:marRight w:val="0"/>
              <w:marTop w:val="0"/>
              <w:marBottom w:val="0"/>
              <w:divBdr>
                <w:top w:val="none" w:sz="0" w:space="0" w:color="auto"/>
                <w:left w:val="none" w:sz="0" w:space="0" w:color="auto"/>
                <w:bottom w:val="none" w:sz="0" w:space="0" w:color="auto"/>
                <w:right w:val="none" w:sz="0" w:space="0" w:color="auto"/>
              </w:divBdr>
            </w:div>
            <w:div w:id="7952529">
              <w:marLeft w:val="0"/>
              <w:marRight w:val="0"/>
              <w:marTop w:val="0"/>
              <w:marBottom w:val="0"/>
              <w:divBdr>
                <w:top w:val="none" w:sz="0" w:space="0" w:color="auto"/>
                <w:left w:val="none" w:sz="0" w:space="0" w:color="auto"/>
                <w:bottom w:val="none" w:sz="0" w:space="0" w:color="auto"/>
                <w:right w:val="none" w:sz="0" w:space="0" w:color="auto"/>
              </w:divBdr>
            </w:div>
            <w:div w:id="1702435335">
              <w:marLeft w:val="0"/>
              <w:marRight w:val="0"/>
              <w:marTop w:val="0"/>
              <w:marBottom w:val="0"/>
              <w:divBdr>
                <w:top w:val="none" w:sz="0" w:space="0" w:color="auto"/>
                <w:left w:val="none" w:sz="0" w:space="0" w:color="auto"/>
                <w:bottom w:val="none" w:sz="0" w:space="0" w:color="auto"/>
                <w:right w:val="none" w:sz="0" w:space="0" w:color="auto"/>
              </w:divBdr>
            </w:div>
            <w:div w:id="92629428">
              <w:marLeft w:val="0"/>
              <w:marRight w:val="0"/>
              <w:marTop w:val="0"/>
              <w:marBottom w:val="0"/>
              <w:divBdr>
                <w:top w:val="none" w:sz="0" w:space="0" w:color="auto"/>
                <w:left w:val="none" w:sz="0" w:space="0" w:color="auto"/>
                <w:bottom w:val="none" w:sz="0" w:space="0" w:color="auto"/>
                <w:right w:val="none" w:sz="0" w:space="0" w:color="auto"/>
              </w:divBdr>
            </w:div>
            <w:div w:id="1004091884">
              <w:marLeft w:val="0"/>
              <w:marRight w:val="0"/>
              <w:marTop w:val="0"/>
              <w:marBottom w:val="0"/>
              <w:divBdr>
                <w:top w:val="none" w:sz="0" w:space="0" w:color="auto"/>
                <w:left w:val="none" w:sz="0" w:space="0" w:color="auto"/>
                <w:bottom w:val="none" w:sz="0" w:space="0" w:color="auto"/>
                <w:right w:val="none" w:sz="0" w:space="0" w:color="auto"/>
              </w:divBdr>
            </w:div>
            <w:div w:id="422772890">
              <w:marLeft w:val="0"/>
              <w:marRight w:val="0"/>
              <w:marTop w:val="0"/>
              <w:marBottom w:val="0"/>
              <w:divBdr>
                <w:top w:val="none" w:sz="0" w:space="0" w:color="auto"/>
                <w:left w:val="none" w:sz="0" w:space="0" w:color="auto"/>
                <w:bottom w:val="none" w:sz="0" w:space="0" w:color="auto"/>
                <w:right w:val="none" w:sz="0" w:space="0" w:color="auto"/>
              </w:divBdr>
            </w:div>
            <w:div w:id="387849971">
              <w:marLeft w:val="0"/>
              <w:marRight w:val="0"/>
              <w:marTop w:val="0"/>
              <w:marBottom w:val="0"/>
              <w:divBdr>
                <w:top w:val="none" w:sz="0" w:space="0" w:color="auto"/>
                <w:left w:val="none" w:sz="0" w:space="0" w:color="auto"/>
                <w:bottom w:val="none" w:sz="0" w:space="0" w:color="auto"/>
                <w:right w:val="none" w:sz="0" w:space="0" w:color="auto"/>
              </w:divBdr>
            </w:div>
            <w:div w:id="1950312628">
              <w:marLeft w:val="0"/>
              <w:marRight w:val="0"/>
              <w:marTop w:val="0"/>
              <w:marBottom w:val="0"/>
              <w:divBdr>
                <w:top w:val="none" w:sz="0" w:space="0" w:color="auto"/>
                <w:left w:val="none" w:sz="0" w:space="0" w:color="auto"/>
                <w:bottom w:val="none" w:sz="0" w:space="0" w:color="auto"/>
                <w:right w:val="none" w:sz="0" w:space="0" w:color="auto"/>
              </w:divBdr>
            </w:div>
            <w:div w:id="1662925469">
              <w:marLeft w:val="0"/>
              <w:marRight w:val="0"/>
              <w:marTop w:val="0"/>
              <w:marBottom w:val="0"/>
              <w:divBdr>
                <w:top w:val="none" w:sz="0" w:space="0" w:color="auto"/>
                <w:left w:val="none" w:sz="0" w:space="0" w:color="auto"/>
                <w:bottom w:val="none" w:sz="0" w:space="0" w:color="auto"/>
                <w:right w:val="none" w:sz="0" w:space="0" w:color="auto"/>
              </w:divBdr>
            </w:div>
            <w:div w:id="1042704559">
              <w:marLeft w:val="0"/>
              <w:marRight w:val="0"/>
              <w:marTop w:val="0"/>
              <w:marBottom w:val="0"/>
              <w:divBdr>
                <w:top w:val="none" w:sz="0" w:space="0" w:color="auto"/>
                <w:left w:val="none" w:sz="0" w:space="0" w:color="auto"/>
                <w:bottom w:val="none" w:sz="0" w:space="0" w:color="auto"/>
                <w:right w:val="none" w:sz="0" w:space="0" w:color="auto"/>
              </w:divBdr>
            </w:div>
            <w:div w:id="780683350">
              <w:marLeft w:val="0"/>
              <w:marRight w:val="0"/>
              <w:marTop w:val="0"/>
              <w:marBottom w:val="0"/>
              <w:divBdr>
                <w:top w:val="none" w:sz="0" w:space="0" w:color="auto"/>
                <w:left w:val="none" w:sz="0" w:space="0" w:color="auto"/>
                <w:bottom w:val="none" w:sz="0" w:space="0" w:color="auto"/>
                <w:right w:val="none" w:sz="0" w:space="0" w:color="auto"/>
              </w:divBdr>
            </w:div>
            <w:div w:id="910118696">
              <w:marLeft w:val="0"/>
              <w:marRight w:val="0"/>
              <w:marTop w:val="0"/>
              <w:marBottom w:val="0"/>
              <w:divBdr>
                <w:top w:val="none" w:sz="0" w:space="0" w:color="auto"/>
                <w:left w:val="none" w:sz="0" w:space="0" w:color="auto"/>
                <w:bottom w:val="none" w:sz="0" w:space="0" w:color="auto"/>
                <w:right w:val="none" w:sz="0" w:space="0" w:color="auto"/>
              </w:divBdr>
            </w:div>
            <w:div w:id="1589465734">
              <w:marLeft w:val="0"/>
              <w:marRight w:val="0"/>
              <w:marTop w:val="0"/>
              <w:marBottom w:val="0"/>
              <w:divBdr>
                <w:top w:val="none" w:sz="0" w:space="0" w:color="auto"/>
                <w:left w:val="none" w:sz="0" w:space="0" w:color="auto"/>
                <w:bottom w:val="none" w:sz="0" w:space="0" w:color="auto"/>
                <w:right w:val="none" w:sz="0" w:space="0" w:color="auto"/>
              </w:divBdr>
            </w:div>
            <w:div w:id="287781041">
              <w:marLeft w:val="0"/>
              <w:marRight w:val="0"/>
              <w:marTop w:val="0"/>
              <w:marBottom w:val="0"/>
              <w:divBdr>
                <w:top w:val="none" w:sz="0" w:space="0" w:color="auto"/>
                <w:left w:val="none" w:sz="0" w:space="0" w:color="auto"/>
                <w:bottom w:val="none" w:sz="0" w:space="0" w:color="auto"/>
                <w:right w:val="none" w:sz="0" w:space="0" w:color="auto"/>
              </w:divBdr>
            </w:div>
            <w:div w:id="164833061">
              <w:marLeft w:val="0"/>
              <w:marRight w:val="0"/>
              <w:marTop w:val="0"/>
              <w:marBottom w:val="0"/>
              <w:divBdr>
                <w:top w:val="none" w:sz="0" w:space="0" w:color="auto"/>
                <w:left w:val="none" w:sz="0" w:space="0" w:color="auto"/>
                <w:bottom w:val="none" w:sz="0" w:space="0" w:color="auto"/>
                <w:right w:val="none" w:sz="0" w:space="0" w:color="auto"/>
              </w:divBdr>
            </w:div>
            <w:div w:id="1068839739">
              <w:marLeft w:val="0"/>
              <w:marRight w:val="0"/>
              <w:marTop w:val="0"/>
              <w:marBottom w:val="0"/>
              <w:divBdr>
                <w:top w:val="none" w:sz="0" w:space="0" w:color="auto"/>
                <w:left w:val="none" w:sz="0" w:space="0" w:color="auto"/>
                <w:bottom w:val="none" w:sz="0" w:space="0" w:color="auto"/>
                <w:right w:val="none" w:sz="0" w:space="0" w:color="auto"/>
              </w:divBdr>
            </w:div>
            <w:div w:id="1784302830">
              <w:marLeft w:val="0"/>
              <w:marRight w:val="0"/>
              <w:marTop w:val="0"/>
              <w:marBottom w:val="0"/>
              <w:divBdr>
                <w:top w:val="none" w:sz="0" w:space="0" w:color="auto"/>
                <w:left w:val="none" w:sz="0" w:space="0" w:color="auto"/>
                <w:bottom w:val="none" w:sz="0" w:space="0" w:color="auto"/>
                <w:right w:val="none" w:sz="0" w:space="0" w:color="auto"/>
              </w:divBdr>
            </w:div>
            <w:div w:id="1678313448">
              <w:marLeft w:val="0"/>
              <w:marRight w:val="0"/>
              <w:marTop w:val="0"/>
              <w:marBottom w:val="0"/>
              <w:divBdr>
                <w:top w:val="none" w:sz="0" w:space="0" w:color="auto"/>
                <w:left w:val="none" w:sz="0" w:space="0" w:color="auto"/>
                <w:bottom w:val="none" w:sz="0" w:space="0" w:color="auto"/>
                <w:right w:val="none" w:sz="0" w:space="0" w:color="auto"/>
              </w:divBdr>
            </w:div>
            <w:div w:id="16289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imalayanart.org/items/146"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E445F-E266-9E45-9B1A-E5D0145C8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6421</Words>
  <Characters>36600</Characters>
  <Application>Microsoft Office Word</Application>
  <DocSecurity>4</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Hamblin</dc:creator>
  <cp:keywords/>
  <dc:description/>
  <cp:lastModifiedBy>Hesron Sihombing</cp:lastModifiedBy>
  <cp:revision>2</cp:revision>
  <dcterms:created xsi:type="dcterms:W3CDTF">2022-08-31T19:23:00Z</dcterms:created>
  <dcterms:modified xsi:type="dcterms:W3CDTF">2022-08-31T19:23:00Z</dcterms:modified>
</cp:coreProperties>
</file>