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BC" w:rsidRDefault="00935408" w:rsidP="00B92594">
      <w:pPr>
        <w:ind w:left="-720" w:right="-630"/>
        <w:jc w:val="center"/>
      </w:pPr>
      <w:r>
        <w:t>GERI in One Page—</w:t>
      </w:r>
      <w:r w:rsidR="00DF2C27">
        <w:t>March</w:t>
      </w:r>
      <w:bookmarkStart w:id="0" w:name="_GoBack"/>
      <w:bookmarkEnd w:id="0"/>
      <w:r>
        <w:t xml:space="preserve"> 2019</w:t>
      </w:r>
    </w:p>
    <w:p w:rsidR="00BE3076" w:rsidRDefault="00BE3076" w:rsidP="00B92594">
      <w:pPr>
        <w:ind w:left="-720" w:right="-630"/>
        <w:jc w:val="center"/>
      </w:pPr>
    </w:p>
    <w:p w:rsidR="00935408" w:rsidRPr="00935408" w:rsidRDefault="00935408" w:rsidP="00B92594">
      <w:pPr>
        <w:ind w:left="-720" w:right="-900"/>
        <w:rPr>
          <w:rFonts w:ascii="Avenir Light" w:hAnsi="Avenir Light"/>
          <w:sz w:val="20"/>
          <w:szCs w:val="20"/>
        </w:rPr>
      </w:pPr>
      <w:r w:rsidRPr="00935408">
        <w:rPr>
          <w:rFonts w:ascii="Avenir Light" w:hAnsi="Avenir Light"/>
          <w:sz w:val="20"/>
          <w:szCs w:val="20"/>
        </w:rPr>
        <w:t xml:space="preserve">The General Education Review and Inquiry committee has provided regular updates to the campus, with </w:t>
      </w:r>
      <w:r w:rsidR="00BE3076">
        <w:rPr>
          <w:rFonts w:ascii="Avenir Light" w:hAnsi="Avenir Light"/>
          <w:sz w:val="20"/>
          <w:szCs w:val="20"/>
        </w:rPr>
        <w:t>everything</w:t>
      </w:r>
      <w:r w:rsidR="00B92594">
        <w:rPr>
          <w:rFonts w:ascii="Avenir Light" w:hAnsi="Avenir Light"/>
          <w:sz w:val="20"/>
          <w:szCs w:val="20"/>
        </w:rPr>
        <w:t xml:space="preserve"> (minutes, reports, background readings) </w:t>
      </w:r>
      <w:r w:rsidRPr="00935408">
        <w:rPr>
          <w:rFonts w:ascii="Avenir Light" w:hAnsi="Avenir Light"/>
          <w:sz w:val="20"/>
          <w:szCs w:val="20"/>
        </w:rPr>
        <w:t xml:space="preserve">archived on our portfolio site at </w:t>
      </w:r>
      <w:hyperlink r:id="rId5" w:history="1">
        <w:r w:rsidRPr="00935408">
          <w:rPr>
            <w:rStyle w:val="Hyperlink"/>
            <w:rFonts w:ascii="Avenir Light" w:hAnsi="Avenir Light"/>
            <w:sz w:val="20"/>
            <w:szCs w:val="20"/>
          </w:rPr>
          <w:t>http://portfolio.du.edu/GenEdReviewInquiry2017</w:t>
        </w:r>
      </w:hyperlink>
      <w:r w:rsidRPr="00935408">
        <w:rPr>
          <w:rFonts w:ascii="Avenir Light" w:hAnsi="Avenir Light"/>
          <w:sz w:val="20"/>
          <w:szCs w:val="20"/>
        </w:rPr>
        <w:t xml:space="preserve">.  From time to time, we’ve provided synopses of </w:t>
      </w:r>
      <w:r>
        <w:rPr>
          <w:rFonts w:ascii="Avenir Light" w:hAnsi="Avenir Light"/>
          <w:sz w:val="20"/>
          <w:szCs w:val="20"/>
        </w:rPr>
        <w:t>our work</w:t>
      </w:r>
      <w:r w:rsidRPr="00935408">
        <w:rPr>
          <w:rFonts w:ascii="Avenir Light" w:hAnsi="Avenir Light"/>
          <w:sz w:val="20"/>
          <w:szCs w:val="20"/>
        </w:rPr>
        <w:t xml:space="preserve">, such as </w:t>
      </w:r>
      <w:hyperlink r:id="rId6" w:history="1">
        <w:r w:rsidRPr="00935408">
          <w:rPr>
            <w:rStyle w:val="Hyperlink"/>
            <w:rFonts w:ascii="Avenir Light" w:hAnsi="Avenir Light"/>
            <w:sz w:val="20"/>
            <w:szCs w:val="20"/>
          </w:rPr>
          <w:t>this overview from November 2018</w:t>
        </w:r>
      </w:hyperlink>
      <w:r w:rsidRPr="00935408">
        <w:rPr>
          <w:rFonts w:ascii="Avenir Light" w:hAnsi="Avenir Light"/>
          <w:sz w:val="20"/>
          <w:szCs w:val="20"/>
        </w:rPr>
        <w:t>.</w:t>
      </w:r>
      <w:r>
        <w:rPr>
          <w:rFonts w:ascii="Avenir Light" w:hAnsi="Avenir Light"/>
          <w:sz w:val="20"/>
          <w:szCs w:val="20"/>
        </w:rPr>
        <w:t xml:space="preserve"> For the sake of convenience, we’ve pulled key dates, activities, and resources into a single page.  All links go to the GERI portfolio site</w:t>
      </w:r>
      <w:r w:rsidR="00B92594">
        <w:rPr>
          <w:rFonts w:ascii="Avenir Light" w:hAnsi="Avenir Light"/>
          <w:sz w:val="20"/>
          <w:szCs w:val="20"/>
        </w:rPr>
        <w:t>.</w:t>
      </w:r>
      <w:r>
        <w:rPr>
          <w:rFonts w:ascii="Avenir Light" w:hAnsi="Avenir Light"/>
          <w:sz w:val="20"/>
          <w:szCs w:val="20"/>
        </w:rPr>
        <w:t xml:space="preserve"> </w:t>
      </w:r>
      <w:r w:rsidR="00B92594">
        <w:rPr>
          <w:rFonts w:ascii="Avenir Light" w:hAnsi="Avenir Light"/>
          <w:sz w:val="20"/>
          <w:szCs w:val="20"/>
        </w:rPr>
        <w:t>S</w:t>
      </w:r>
      <w:r>
        <w:rPr>
          <w:rFonts w:ascii="Avenir Light" w:hAnsi="Avenir Light"/>
          <w:sz w:val="20"/>
          <w:szCs w:val="20"/>
        </w:rPr>
        <w:t xml:space="preserve">ome are public and </w:t>
      </w:r>
      <w:r w:rsidR="00B92594">
        <w:rPr>
          <w:rFonts w:ascii="Avenir Light" w:hAnsi="Avenir Light"/>
          <w:sz w:val="20"/>
          <w:szCs w:val="20"/>
        </w:rPr>
        <w:t xml:space="preserve">will </w:t>
      </w:r>
      <w:r>
        <w:rPr>
          <w:rFonts w:ascii="Avenir Light" w:hAnsi="Avenir Light"/>
          <w:sz w:val="20"/>
          <w:szCs w:val="20"/>
        </w:rPr>
        <w:t>download directly.  Others are set to “university” privacy level and will need you to log in.</w:t>
      </w:r>
    </w:p>
    <w:p w:rsidR="00935408" w:rsidRDefault="00935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5408" w:rsidRPr="00EB60E9" w:rsidTr="00935408">
        <w:tc>
          <w:tcPr>
            <w:tcW w:w="4675" w:type="dxa"/>
          </w:tcPr>
          <w:p w:rsidR="00935408" w:rsidRPr="00EB60E9" w:rsidRDefault="00935408" w:rsidP="00EB60E9">
            <w:pPr>
              <w:jc w:val="center"/>
              <w:rPr>
                <w:rFonts w:ascii="Avenir Light" w:hAnsi="Avenir Light"/>
              </w:rPr>
            </w:pPr>
            <w:r w:rsidRPr="00EB60E9">
              <w:rPr>
                <w:rFonts w:ascii="Avenir Light" w:hAnsi="Avenir Light"/>
              </w:rPr>
              <w:t>Time and Activities</w:t>
            </w:r>
          </w:p>
        </w:tc>
        <w:tc>
          <w:tcPr>
            <w:tcW w:w="4675" w:type="dxa"/>
          </w:tcPr>
          <w:p w:rsidR="00935408" w:rsidRPr="00EB60E9" w:rsidRDefault="005A21B3" w:rsidP="00EB60E9">
            <w:pPr>
              <w:jc w:val="center"/>
              <w:rPr>
                <w:rFonts w:ascii="Avenir Light" w:hAnsi="Avenir Light"/>
              </w:rPr>
            </w:pPr>
            <w:r w:rsidRPr="00EB60E9">
              <w:rPr>
                <w:rFonts w:ascii="Avenir Light" w:hAnsi="Avenir Light"/>
              </w:rPr>
              <w:t>Key Documents/Reports</w:t>
            </w:r>
          </w:p>
        </w:tc>
      </w:tr>
      <w:tr w:rsidR="00935408" w:rsidRPr="00935408" w:rsidTr="00935408">
        <w:tc>
          <w:tcPr>
            <w:tcW w:w="4675" w:type="dxa"/>
          </w:tcPr>
          <w:p w:rsidR="00AB6ABD" w:rsidRDefault="005A21B3">
            <w:p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>2017</w:t>
            </w:r>
            <w:r w:rsidR="00AB6ABD">
              <w:rPr>
                <w:rFonts w:ascii="Avenir Light" w:hAnsi="Avenir Light"/>
                <w:sz w:val="20"/>
                <w:szCs w:val="20"/>
              </w:rPr>
              <w:t>: Start of Inquiry Phase</w:t>
            </w:r>
          </w:p>
          <w:p w:rsidR="00935408" w:rsidRPr="00AB6ABD" w:rsidRDefault="005A21B3" w:rsidP="00AB6ABD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>Committee Formed in June</w:t>
            </w:r>
          </w:p>
          <w:p w:rsidR="005A21B3" w:rsidRPr="00EB60E9" w:rsidRDefault="005A21B3" w:rsidP="00EB60E9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/>
                <w:sz w:val="20"/>
                <w:szCs w:val="20"/>
              </w:rPr>
            </w:pPr>
            <w:r w:rsidRPr="00EB60E9">
              <w:rPr>
                <w:rFonts w:ascii="Avenir Light" w:hAnsi="Avenir Light"/>
                <w:sz w:val="20"/>
                <w:szCs w:val="20"/>
              </w:rPr>
              <w:t>Fall spent reviewing literature, surveying faculty, conducting student focus groups, conducting faculty listening sessions.</w:t>
            </w:r>
          </w:p>
          <w:p w:rsidR="00B92594" w:rsidRDefault="005A21B3" w:rsidP="00EB60E9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/>
                <w:sz w:val="20"/>
                <w:szCs w:val="20"/>
              </w:rPr>
            </w:pPr>
            <w:r w:rsidRPr="00EB60E9">
              <w:rPr>
                <w:rFonts w:ascii="Avenir Light" w:hAnsi="Avenir Light"/>
                <w:sz w:val="20"/>
                <w:szCs w:val="20"/>
              </w:rPr>
              <w:t xml:space="preserve">General education as an Individual Good, Societal Good, Institutional Good. </w:t>
            </w:r>
          </w:p>
          <w:p w:rsidR="005A21B3" w:rsidRPr="00EB60E9" w:rsidRDefault="005A21B3" w:rsidP="00EB60E9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/>
                <w:sz w:val="20"/>
                <w:szCs w:val="20"/>
              </w:rPr>
            </w:pPr>
            <w:r w:rsidRPr="00EB60E9">
              <w:rPr>
                <w:rFonts w:ascii="Avenir Light" w:hAnsi="Avenir Light"/>
                <w:sz w:val="20"/>
                <w:szCs w:val="20"/>
              </w:rPr>
              <w:t>Four main models: Core, Distribution, Competency, Thematic</w:t>
            </w:r>
          </w:p>
        </w:tc>
        <w:tc>
          <w:tcPr>
            <w:tcW w:w="4675" w:type="dxa"/>
          </w:tcPr>
          <w:p w:rsidR="007C3932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7" w:history="1">
              <w:r w:rsidR="00AB6ABD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Detailed</w:t>
              </w:r>
              <w:r w:rsidR="007C3932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 xml:space="preserve"> Message to DU Faculty, explaining the process and initial timeline</w:t>
              </w:r>
            </w:hyperlink>
            <w:r w:rsidR="00AB6ABD">
              <w:rPr>
                <w:rFonts w:ascii="Avenir Light" w:hAnsi="Avenir Light"/>
                <w:sz w:val="20"/>
                <w:szCs w:val="20"/>
              </w:rPr>
              <w:t xml:space="preserve"> (10/18/17)</w:t>
            </w:r>
          </w:p>
          <w:p w:rsidR="00B92594" w:rsidRDefault="00B92594">
            <w:pPr>
              <w:rPr>
                <w:rFonts w:ascii="Avenir Light" w:hAnsi="Avenir Light"/>
                <w:sz w:val="20"/>
                <w:szCs w:val="20"/>
              </w:rPr>
            </w:pPr>
          </w:p>
          <w:p w:rsidR="00935408" w:rsidRPr="00935408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8" w:history="1">
              <w:r w:rsidR="005A21B3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Parameters of General Education: A Primer for the DU Community</w:t>
              </w:r>
            </w:hyperlink>
            <w:r w:rsidR="00AB6ABD">
              <w:rPr>
                <w:rFonts w:ascii="Avenir Light" w:hAnsi="Avenir Light"/>
                <w:sz w:val="20"/>
                <w:szCs w:val="20"/>
              </w:rPr>
              <w:t xml:space="preserve"> (12/17)</w:t>
            </w:r>
          </w:p>
        </w:tc>
      </w:tr>
      <w:tr w:rsidR="00935408" w:rsidRPr="00935408" w:rsidTr="00935408">
        <w:tc>
          <w:tcPr>
            <w:tcW w:w="4675" w:type="dxa"/>
          </w:tcPr>
          <w:p w:rsidR="00935408" w:rsidRDefault="005A21B3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Winter 2018</w:t>
            </w:r>
            <w:r w:rsidR="007C3932">
              <w:rPr>
                <w:rFonts w:ascii="Avenir Light" w:hAnsi="Avenir Light"/>
                <w:sz w:val="20"/>
                <w:szCs w:val="20"/>
              </w:rPr>
              <w:t>: Inquiry</w:t>
            </w:r>
          </w:p>
          <w:p w:rsidR="00B92594" w:rsidRDefault="005A21B3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>Continue reviewing literature, including studying Gen Ed at peer institutions;</w:t>
            </w:r>
          </w:p>
          <w:p w:rsidR="005A21B3" w:rsidRPr="00AB6ABD" w:rsidRDefault="005A21B3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 xml:space="preserve"> student survey; more student focus groups, more faculty listening</w:t>
            </w:r>
          </w:p>
        </w:tc>
        <w:tc>
          <w:tcPr>
            <w:tcW w:w="4675" w:type="dxa"/>
          </w:tcPr>
          <w:p w:rsidR="00935408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9" w:history="1">
              <w:r w:rsidR="005A21B3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Winter 2018 Report of General Education at DU</w:t>
              </w:r>
            </w:hyperlink>
          </w:p>
          <w:p w:rsidR="005A21B3" w:rsidRPr="00935408" w:rsidRDefault="00AB6ABD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(3/2/18) </w:t>
            </w:r>
            <w:r w:rsidR="005A21B3">
              <w:rPr>
                <w:rFonts w:ascii="Avenir Light" w:hAnsi="Avenir Light"/>
                <w:sz w:val="20"/>
                <w:szCs w:val="20"/>
              </w:rPr>
              <w:t>Reports</w:t>
            </w:r>
            <w:r>
              <w:rPr>
                <w:rFonts w:ascii="Avenir Light" w:hAnsi="Avenir Light"/>
                <w:sz w:val="20"/>
                <w:szCs w:val="20"/>
              </w:rPr>
              <w:t>/</w:t>
            </w:r>
            <w:r w:rsidR="005A21B3">
              <w:rPr>
                <w:rFonts w:ascii="Avenir Light" w:hAnsi="Avenir Light"/>
                <w:sz w:val="20"/>
                <w:szCs w:val="20"/>
              </w:rPr>
              <w:t>analyzes findings from the inquiry phase; identifies seven conclusions; summarizes other schools; provides history and timeline</w:t>
            </w:r>
          </w:p>
        </w:tc>
      </w:tr>
      <w:tr w:rsidR="00935408" w:rsidRPr="00935408" w:rsidTr="00935408">
        <w:tc>
          <w:tcPr>
            <w:tcW w:w="4675" w:type="dxa"/>
          </w:tcPr>
          <w:p w:rsidR="00935408" w:rsidRDefault="00166647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Spring 2018</w:t>
            </w:r>
            <w:r w:rsidR="007C3932">
              <w:rPr>
                <w:rFonts w:ascii="Avenir Light" w:hAnsi="Avenir Light"/>
                <w:sz w:val="20"/>
                <w:szCs w:val="20"/>
              </w:rPr>
              <w:t>: Inquiry</w:t>
            </w:r>
          </w:p>
          <w:p w:rsidR="00B92594" w:rsidRDefault="00166647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 xml:space="preserve">Drafting Mission, Vision, and Outcomes; </w:t>
            </w:r>
          </w:p>
          <w:p w:rsidR="00B92594" w:rsidRDefault="00166647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>Designated faculty response sessions (departments invited to send discussants);</w:t>
            </w:r>
          </w:p>
          <w:p w:rsidR="00166647" w:rsidRPr="00AB6ABD" w:rsidRDefault="00166647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 xml:space="preserve"> Revised Mission, Vision, Outcomes</w:t>
            </w:r>
          </w:p>
        </w:tc>
        <w:tc>
          <w:tcPr>
            <w:tcW w:w="4675" w:type="dxa"/>
          </w:tcPr>
          <w:p w:rsidR="00935408" w:rsidRPr="00935408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10" w:history="1">
              <w:r w:rsidR="00166647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“Final” Draft, Mission, Vision and Outcomes for General Education</w:t>
              </w:r>
            </w:hyperlink>
            <w:r w:rsidR="00166647">
              <w:rPr>
                <w:rFonts w:ascii="Avenir Light" w:hAnsi="Avenir Light"/>
                <w:sz w:val="20"/>
                <w:szCs w:val="20"/>
              </w:rPr>
              <w:t>, June 15, 2018</w:t>
            </w:r>
          </w:p>
        </w:tc>
      </w:tr>
      <w:tr w:rsidR="00935408" w:rsidRPr="00935408" w:rsidTr="00935408">
        <w:tc>
          <w:tcPr>
            <w:tcW w:w="4675" w:type="dxa"/>
          </w:tcPr>
          <w:p w:rsidR="00935408" w:rsidRDefault="007C3932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Fall 2018: Design</w:t>
            </w:r>
          </w:p>
          <w:p w:rsidR="00B92594" w:rsidRDefault="007C3932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 xml:space="preserve">Working out politics and processes, including how GERI interacts/collaborates with the Faculty Senate; </w:t>
            </w:r>
          </w:p>
          <w:p w:rsidR="007C3932" w:rsidRPr="00AB6ABD" w:rsidRDefault="007C3932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>Chancellors Roundtable and Senate meetings; revised timetable; planning Design-a-Palooza</w:t>
            </w:r>
          </w:p>
        </w:tc>
        <w:tc>
          <w:tcPr>
            <w:tcW w:w="4675" w:type="dxa"/>
          </w:tcPr>
          <w:p w:rsidR="00935408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11" w:history="1">
              <w:r w:rsidR="007C3932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Where Things Stand with General Education Review and Inquiry: A Synopsis</w:t>
              </w:r>
            </w:hyperlink>
            <w:r w:rsidR="007C3932">
              <w:rPr>
                <w:rFonts w:ascii="Avenir Light" w:hAnsi="Avenir Light"/>
                <w:sz w:val="20"/>
                <w:szCs w:val="20"/>
              </w:rPr>
              <w:t xml:space="preserve">, </w:t>
            </w:r>
            <w:r w:rsidR="00AB6ABD">
              <w:rPr>
                <w:rFonts w:ascii="Avenir Light" w:hAnsi="Avenir Light"/>
                <w:sz w:val="20"/>
                <w:szCs w:val="20"/>
              </w:rPr>
              <w:t>(</w:t>
            </w:r>
            <w:r w:rsidR="007C3932">
              <w:rPr>
                <w:rFonts w:ascii="Avenir Light" w:hAnsi="Avenir Light"/>
                <w:sz w:val="20"/>
                <w:szCs w:val="20"/>
              </w:rPr>
              <w:t>10/17/</w:t>
            </w:r>
            <w:r w:rsidR="00AB6ABD">
              <w:rPr>
                <w:rFonts w:ascii="Avenir Light" w:hAnsi="Avenir Light"/>
                <w:sz w:val="20"/>
                <w:szCs w:val="20"/>
              </w:rPr>
              <w:t>18)</w:t>
            </w:r>
          </w:p>
          <w:p w:rsidR="00B92594" w:rsidRDefault="00B92594">
            <w:pPr>
              <w:rPr>
                <w:rFonts w:ascii="Avenir Light" w:hAnsi="Avenir Light"/>
                <w:sz w:val="20"/>
                <w:szCs w:val="20"/>
              </w:rPr>
            </w:pPr>
          </w:p>
          <w:p w:rsidR="007C3932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12" w:history="1">
              <w:r w:rsidR="007C3932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Quick Documents for the Faculty Senate</w:t>
              </w:r>
            </w:hyperlink>
            <w:r w:rsidR="00B92594">
              <w:rPr>
                <w:rFonts w:ascii="Avenir Light" w:hAnsi="Avenir Light"/>
                <w:sz w:val="20"/>
                <w:szCs w:val="20"/>
              </w:rPr>
              <w:t xml:space="preserve"> (11/18)</w:t>
            </w:r>
          </w:p>
          <w:p w:rsidR="007C3932" w:rsidRPr="00935408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13" w:history="1">
              <w:r w:rsidR="007C3932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Updated GERI Timeline with Faculty Senate Role</w:t>
              </w:r>
            </w:hyperlink>
            <w:r w:rsidR="007C3932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AB6ABD">
              <w:rPr>
                <w:rFonts w:ascii="Avenir Light" w:hAnsi="Avenir Light"/>
                <w:sz w:val="20"/>
                <w:szCs w:val="20"/>
              </w:rPr>
              <w:t>(11/</w:t>
            </w:r>
            <w:r w:rsidR="007C3932">
              <w:rPr>
                <w:rFonts w:ascii="Avenir Light" w:hAnsi="Avenir Light"/>
                <w:sz w:val="20"/>
                <w:szCs w:val="20"/>
              </w:rPr>
              <w:t>18</w:t>
            </w:r>
            <w:r w:rsidR="00AB6ABD">
              <w:rPr>
                <w:rFonts w:ascii="Avenir Light" w:hAnsi="Avenir Light"/>
                <w:sz w:val="20"/>
                <w:szCs w:val="20"/>
              </w:rPr>
              <w:t>)</w:t>
            </w:r>
          </w:p>
        </w:tc>
      </w:tr>
      <w:tr w:rsidR="00935408" w:rsidRPr="00935408" w:rsidTr="00935408">
        <w:tc>
          <w:tcPr>
            <w:tcW w:w="4675" w:type="dxa"/>
          </w:tcPr>
          <w:p w:rsidR="00935408" w:rsidRDefault="007C3932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Winter 2019:  Design</w:t>
            </w:r>
          </w:p>
          <w:p w:rsidR="007C3932" w:rsidRPr="00AB6ABD" w:rsidRDefault="007C3932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>Design-a-Palooza;</w:t>
            </w:r>
            <w:r w:rsidR="00EB60E9" w:rsidRPr="00AB6ABD">
              <w:rPr>
                <w:rFonts w:ascii="Avenir Light" w:hAnsi="Avenir Light"/>
                <w:sz w:val="20"/>
                <w:szCs w:val="20"/>
              </w:rPr>
              <w:t xml:space="preserve"> 11 thematic design sessions; meetings with units, as invited.</w:t>
            </w:r>
          </w:p>
          <w:p w:rsidR="00EB60E9" w:rsidRPr="00AB6ABD" w:rsidRDefault="00EB60E9" w:rsidP="00AB6ABD">
            <w:pPr>
              <w:pStyle w:val="ListParagraph"/>
              <w:numPr>
                <w:ilvl w:val="0"/>
                <w:numId w:val="2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 xml:space="preserve">GERI synthesizing and interpreting ideas from the design sessions, starting to draft models </w:t>
            </w:r>
          </w:p>
        </w:tc>
        <w:tc>
          <w:tcPr>
            <w:tcW w:w="4675" w:type="dxa"/>
          </w:tcPr>
          <w:p w:rsidR="00B92594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14" w:history="1">
              <w:proofErr w:type="spellStart"/>
              <w:r w:rsidR="00EB60E9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Designapalooza</w:t>
              </w:r>
              <w:proofErr w:type="spellEnd"/>
              <w:r w:rsidR="00EB60E9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 xml:space="preserve"> Plan</w:t>
              </w:r>
            </w:hyperlink>
            <w:r w:rsidR="00AB6ABD">
              <w:rPr>
                <w:rFonts w:ascii="Avenir Light" w:hAnsi="Avenir Light"/>
                <w:sz w:val="20"/>
                <w:szCs w:val="20"/>
              </w:rPr>
              <w:t xml:space="preserve"> (1/11/19)</w:t>
            </w:r>
          </w:p>
          <w:p w:rsidR="00B92594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15" w:history="1">
              <w:proofErr w:type="spellStart"/>
              <w:r w:rsidR="00EB60E9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Designapalooza</w:t>
              </w:r>
              <w:proofErr w:type="spellEnd"/>
              <w:r w:rsidR="00EB60E9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 xml:space="preserve"> Raw Compilation</w:t>
              </w:r>
            </w:hyperlink>
            <w:r w:rsidR="00EB60E9">
              <w:rPr>
                <w:rFonts w:ascii="Avenir Light" w:hAnsi="Avenir Light"/>
                <w:sz w:val="20"/>
                <w:szCs w:val="20"/>
              </w:rPr>
              <w:t xml:space="preserve"> and </w:t>
            </w:r>
            <w:hyperlink r:id="rId16" w:history="1">
              <w:r w:rsidR="00EB60E9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Synthesis</w:t>
              </w:r>
            </w:hyperlink>
          </w:p>
          <w:p w:rsidR="00EB60E9" w:rsidRDefault="00CF4812">
            <w:pPr>
              <w:rPr>
                <w:rFonts w:ascii="Avenir Light" w:hAnsi="Avenir Light"/>
                <w:sz w:val="20"/>
                <w:szCs w:val="20"/>
              </w:rPr>
            </w:pPr>
            <w:hyperlink r:id="rId17" w:history="1">
              <w:r w:rsidR="00AB6ABD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Idea/</w:t>
              </w:r>
              <w:r w:rsidR="00EB60E9" w:rsidRPr="00AB6ABD">
                <w:rPr>
                  <w:rStyle w:val="Hyperlink"/>
                  <w:rFonts w:ascii="Avenir Light" w:hAnsi="Avenir Light"/>
                  <w:sz w:val="20"/>
                  <w:szCs w:val="20"/>
                </w:rPr>
                <w:t>Design Sessions</w:t>
              </w:r>
            </w:hyperlink>
          </w:p>
          <w:p w:rsidR="00EB60E9" w:rsidRPr="00935408" w:rsidRDefault="00DF2C27">
            <w:pPr>
              <w:rPr>
                <w:rFonts w:ascii="Avenir Light" w:hAnsi="Avenir Light"/>
                <w:sz w:val="20"/>
                <w:szCs w:val="20"/>
              </w:rPr>
            </w:pPr>
            <w:hyperlink r:id="rId18" w:history="1">
              <w:r w:rsidRPr="00DF2C27">
                <w:rPr>
                  <w:rStyle w:val="Hyperlink"/>
                  <w:rFonts w:ascii="Avenir Light" w:hAnsi="Avenir Light"/>
                  <w:sz w:val="20"/>
                  <w:szCs w:val="20"/>
                </w:rPr>
                <w:t>Faculty Design Idea Generation Report</w:t>
              </w:r>
            </w:hyperlink>
          </w:p>
        </w:tc>
      </w:tr>
      <w:tr w:rsidR="00935408" w:rsidRPr="00935408" w:rsidTr="00935408">
        <w:tc>
          <w:tcPr>
            <w:tcW w:w="4675" w:type="dxa"/>
          </w:tcPr>
          <w:p w:rsidR="00935408" w:rsidRDefault="00EB60E9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Spring 2019: Design</w:t>
            </w:r>
          </w:p>
          <w:p w:rsidR="00B92594" w:rsidRDefault="00EB60E9" w:rsidP="00AB6ABD">
            <w:pPr>
              <w:pStyle w:val="ListParagraph"/>
              <w:numPr>
                <w:ilvl w:val="0"/>
                <w:numId w:val="3"/>
              </w:numPr>
              <w:rPr>
                <w:rFonts w:ascii="Avenir Light" w:hAnsi="Avenir Light"/>
                <w:sz w:val="20"/>
                <w:szCs w:val="20"/>
              </w:rPr>
            </w:pPr>
            <w:r w:rsidRPr="00AB6ABD">
              <w:rPr>
                <w:rFonts w:ascii="Avenir Light" w:hAnsi="Avenir Light"/>
                <w:sz w:val="20"/>
                <w:szCs w:val="20"/>
              </w:rPr>
              <w:t>Presenting broad models; fleshing out and designing one final model</w:t>
            </w:r>
            <w:r w:rsidR="00DF2C27">
              <w:rPr>
                <w:rFonts w:ascii="Avenir Light" w:hAnsi="Avenir Light"/>
                <w:sz w:val="20"/>
                <w:szCs w:val="20"/>
              </w:rPr>
              <w:t xml:space="preserve"> by the end of the academic year</w:t>
            </w:r>
            <w:r w:rsidRPr="00AB6ABD"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  <w:p w:rsidR="00EB60E9" w:rsidRPr="00AB6ABD" w:rsidRDefault="00EB60E9" w:rsidP="00DF2C27">
            <w:pPr>
              <w:pStyle w:val="ListParagraph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4675" w:type="dxa"/>
          </w:tcPr>
          <w:p w:rsidR="00935408" w:rsidRPr="00935408" w:rsidRDefault="00935408">
            <w:pPr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EB60E9" w:rsidRPr="00935408" w:rsidTr="00935408">
        <w:tc>
          <w:tcPr>
            <w:tcW w:w="4675" w:type="dxa"/>
          </w:tcPr>
          <w:p w:rsidR="00EB60E9" w:rsidRDefault="00EB60E9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Summer 2019: Impact analysis</w:t>
            </w:r>
          </w:p>
        </w:tc>
        <w:tc>
          <w:tcPr>
            <w:tcW w:w="4675" w:type="dxa"/>
          </w:tcPr>
          <w:p w:rsidR="00EB60E9" w:rsidRPr="00935408" w:rsidRDefault="00EB60E9">
            <w:pPr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EB60E9" w:rsidRPr="00935408" w:rsidTr="00935408">
        <w:tc>
          <w:tcPr>
            <w:tcW w:w="4675" w:type="dxa"/>
          </w:tcPr>
          <w:p w:rsidR="00EB60E9" w:rsidRDefault="00EB60E9">
            <w:pPr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Fall 2019: </w:t>
            </w:r>
            <w:r w:rsidR="00DF2C27">
              <w:rPr>
                <w:rFonts w:ascii="Avenir Light" w:hAnsi="Avenir Light"/>
                <w:sz w:val="20"/>
                <w:szCs w:val="20"/>
              </w:rPr>
              <w:t xml:space="preserve">Senate for recommendation vote and </w:t>
            </w:r>
            <w:r>
              <w:rPr>
                <w:rFonts w:ascii="Avenir Light" w:hAnsi="Avenir Light"/>
                <w:sz w:val="20"/>
                <w:szCs w:val="20"/>
              </w:rPr>
              <w:t xml:space="preserve"> Undergraduate Council for Approval</w:t>
            </w:r>
          </w:p>
        </w:tc>
        <w:tc>
          <w:tcPr>
            <w:tcW w:w="4675" w:type="dxa"/>
          </w:tcPr>
          <w:p w:rsidR="00EB60E9" w:rsidRPr="00935408" w:rsidRDefault="00EB60E9">
            <w:pPr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:rsidR="0028216D" w:rsidRDefault="0028216D" w:rsidP="00070CA1">
      <w:pPr>
        <w:ind w:left="-720" w:right="-720"/>
        <w:rPr>
          <w:rFonts w:ascii="Avenir Light" w:eastAsia="Times New Roman" w:hAnsi="Avenir Light" w:cs="Arial"/>
          <w:color w:val="333333"/>
          <w:sz w:val="18"/>
          <w:szCs w:val="18"/>
        </w:rPr>
      </w:pPr>
    </w:p>
    <w:p w:rsidR="00070CA1" w:rsidRDefault="00070CA1" w:rsidP="00070CA1">
      <w:pPr>
        <w:ind w:left="-720" w:right="-720"/>
        <w:rPr>
          <w:rFonts w:ascii="Avenir Light" w:eastAsia="Times New Roman" w:hAnsi="Avenir Light" w:cs="Arial"/>
          <w:color w:val="333333"/>
          <w:sz w:val="18"/>
          <w:szCs w:val="18"/>
        </w:rPr>
      </w:pPr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GERI is</w:t>
      </w:r>
      <w:r>
        <w:rPr>
          <w:rFonts w:ascii="Avenir Light" w:eastAsia="Times New Roman" w:hAnsi="Avenir Light" w:cs="Arial"/>
          <w:color w:val="333333"/>
          <w:sz w:val="18"/>
          <w:szCs w:val="18"/>
        </w:rPr>
        <w:t xml:space="preserve">: </w:t>
      </w:r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 xml:space="preserve">Alejandro </w:t>
      </w:r>
      <w:proofErr w:type="spellStart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Cerón</w:t>
      </w:r>
      <w:proofErr w:type="spellEnd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, Anthropology; Doug Hesse, Writing and English, (chair);</w:t>
      </w:r>
      <w:r>
        <w:rPr>
          <w:rFonts w:ascii="Avenir Light" w:eastAsia="Times New Roman" w:hAnsi="Avenir Light" w:cs="Arial"/>
          <w:color w:val="333333"/>
          <w:sz w:val="18"/>
          <w:szCs w:val="18"/>
        </w:rPr>
        <w:t xml:space="preserve"> </w:t>
      </w:r>
      <w:proofErr w:type="spellStart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Barbekka</w:t>
      </w:r>
      <w:proofErr w:type="spellEnd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 xml:space="preserve"> Hurtt, Biological Sciences; </w:t>
      </w:r>
      <w:proofErr w:type="spellStart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Tonnett</w:t>
      </w:r>
      <w:proofErr w:type="spellEnd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 xml:space="preserve"> Luedtke, Academic Advising;</w:t>
      </w:r>
      <w:r>
        <w:rPr>
          <w:rFonts w:ascii="Avenir Light" w:eastAsia="Times New Roman" w:hAnsi="Avenir Light" w:cs="Arial"/>
          <w:color w:val="333333"/>
          <w:sz w:val="18"/>
          <w:szCs w:val="18"/>
        </w:rPr>
        <w:t xml:space="preserve"> </w:t>
      </w:r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 xml:space="preserve">Kateri McRae, Psychology; </w:t>
      </w:r>
      <w:proofErr w:type="spellStart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Nic</w:t>
      </w:r>
      <w:proofErr w:type="spellEnd"/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 xml:space="preserve"> Ormes, Mathematics;</w:t>
      </w:r>
      <w:r>
        <w:rPr>
          <w:rFonts w:ascii="Avenir Light" w:eastAsia="Times New Roman" w:hAnsi="Avenir Light" w:cs="Arial"/>
          <w:color w:val="333333"/>
          <w:sz w:val="18"/>
          <w:szCs w:val="18"/>
        </w:rPr>
        <w:t xml:space="preserve"> </w:t>
      </w:r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Greg Robbins, Religious Studies; Matt Rutherford, Computer Science;</w:t>
      </w:r>
      <w:r>
        <w:rPr>
          <w:rFonts w:ascii="Avenir Light" w:eastAsia="Times New Roman" w:hAnsi="Avenir Light" w:cs="Arial"/>
          <w:color w:val="333333"/>
          <w:sz w:val="18"/>
          <w:szCs w:val="18"/>
        </w:rPr>
        <w:t xml:space="preserve"> </w:t>
      </w:r>
      <w:r w:rsidRPr="00070CA1">
        <w:rPr>
          <w:rFonts w:ascii="Avenir Light" w:eastAsia="Times New Roman" w:hAnsi="Avenir Light" w:cs="Arial"/>
          <w:color w:val="333333"/>
          <w:sz w:val="18"/>
          <w:szCs w:val="18"/>
        </w:rPr>
        <w:t>Billy J. Stratton, English; John Tiedemann, Writing; Cheri Young, Hospitality.</w:t>
      </w:r>
      <w:r w:rsidR="0028216D">
        <w:rPr>
          <w:rFonts w:ascii="Avenir Light" w:eastAsia="Times New Roman" w:hAnsi="Avenir Light" w:cs="Arial"/>
          <w:color w:val="333333"/>
          <w:sz w:val="18"/>
          <w:szCs w:val="18"/>
        </w:rPr>
        <w:t xml:space="preserve"> Lauren Salvador provides support.</w:t>
      </w:r>
    </w:p>
    <w:p w:rsidR="00BE3076" w:rsidRPr="00070CA1" w:rsidRDefault="00BE3076" w:rsidP="00070CA1">
      <w:pPr>
        <w:ind w:left="-720" w:right="-720"/>
        <w:rPr>
          <w:rFonts w:ascii="Avenir Light" w:eastAsia="Times New Roman" w:hAnsi="Avenir Light" w:cs="Arial"/>
          <w:color w:val="403F42"/>
          <w:sz w:val="18"/>
          <w:szCs w:val="18"/>
        </w:rPr>
      </w:pPr>
    </w:p>
    <w:p w:rsidR="00935408" w:rsidRPr="0028216D" w:rsidRDefault="0028216D" w:rsidP="00B92594">
      <w:pPr>
        <w:rPr>
          <w:rFonts w:ascii="Avenir Light" w:hAnsi="Avenir Light"/>
          <w:sz w:val="20"/>
          <w:szCs w:val="20"/>
        </w:rPr>
      </w:pPr>
      <w:r w:rsidRPr="0028216D">
        <w:rPr>
          <w:rFonts w:ascii="Avenir Light" w:hAnsi="Avenir Light"/>
          <w:sz w:val="20"/>
          <w:szCs w:val="20"/>
        </w:rPr>
        <w:t xml:space="preserve">Contacts:  Doug Hesse: </w:t>
      </w:r>
      <w:hyperlink r:id="rId19" w:history="1">
        <w:r w:rsidRPr="0028216D">
          <w:rPr>
            <w:rStyle w:val="Hyperlink"/>
            <w:rFonts w:ascii="Avenir Light" w:hAnsi="Avenir Light"/>
            <w:sz w:val="20"/>
            <w:szCs w:val="20"/>
          </w:rPr>
          <w:t>dhesse@du.edu</w:t>
        </w:r>
      </w:hyperlink>
      <w:r w:rsidRPr="0028216D">
        <w:rPr>
          <w:rFonts w:ascii="Avenir Light" w:hAnsi="Avenir Light"/>
          <w:sz w:val="20"/>
          <w:szCs w:val="20"/>
        </w:rPr>
        <w:t xml:space="preserve">   Lauren Salvador: 1-7448, </w:t>
      </w:r>
      <w:hyperlink r:id="rId20" w:history="1">
        <w:r w:rsidRPr="00810B92">
          <w:rPr>
            <w:rStyle w:val="Hyperlink"/>
            <w:rFonts w:ascii="Avenir Light" w:hAnsi="Avenir Light"/>
            <w:sz w:val="20"/>
            <w:szCs w:val="20"/>
          </w:rPr>
          <w:t>lauren.salvador@du.edu</w:t>
        </w:r>
      </w:hyperlink>
      <w:r>
        <w:rPr>
          <w:rFonts w:ascii="Avenir Light" w:hAnsi="Avenir Light"/>
          <w:sz w:val="20"/>
          <w:szCs w:val="20"/>
        </w:rPr>
        <w:t xml:space="preserve"> </w:t>
      </w:r>
    </w:p>
    <w:sectPr w:rsidR="00935408" w:rsidRPr="0028216D" w:rsidSect="00BE3076">
      <w:pgSz w:w="12240" w:h="15840"/>
      <w:pgMar w:top="315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803"/>
    <w:multiLevelType w:val="hybridMultilevel"/>
    <w:tmpl w:val="C7A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75D5"/>
    <w:multiLevelType w:val="hybridMultilevel"/>
    <w:tmpl w:val="8372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5463E"/>
    <w:multiLevelType w:val="hybridMultilevel"/>
    <w:tmpl w:val="F5C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08"/>
    <w:rsid w:val="00021F1E"/>
    <w:rsid w:val="00070CA1"/>
    <w:rsid w:val="000B504E"/>
    <w:rsid w:val="00166647"/>
    <w:rsid w:val="0028216D"/>
    <w:rsid w:val="005A21B3"/>
    <w:rsid w:val="007C3932"/>
    <w:rsid w:val="00935408"/>
    <w:rsid w:val="00AB6ABD"/>
    <w:rsid w:val="00B92594"/>
    <w:rsid w:val="00BE3076"/>
    <w:rsid w:val="00CF4812"/>
    <w:rsid w:val="00DF2C27"/>
    <w:rsid w:val="00E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1DC53"/>
  <w15:chartTrackingRefBased/>
  <w15:docId w15:val="{CF75D662-17F3-D74D-A314-416BD66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54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3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du.edu/downloadItem/385072" TargetMode="External"/><Relationship Id="rId13" Type="http://schemas.openxmlformats.org/officeDocument/2006/relationships/hyperlink" Target="http://portfolio.du.edu/downloadItem/484582" TargetMode="External"/><Relationship Id="rId18" Type="http://schemas.openxmlformats.org/officeDocument/2006/relationships/hyperlink" Target="http://portfolio.du.edu/downloadEditorItem/142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folio.du.edu/downloadItem/376702" TargetMode="External"/><Relationship Id="rId12" Type="http://schemas.openxmlformats.org/officeDocument/2006/relationships/hyperlink" Target="http://portfolio.du.edu/downloadItem/474359" TargetMode="External"/><Relationship Id="rId17" Type="http://schemas.openxmlformats.org/officeDocument/2006/relationships/hyperlink" Target="http://portfolio.du.edu/downloadEditorItem/3878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folio.du.edu/downloadEditorItem/3765" TargetMode="External"/><Relationship Id="rId20" Type="http://schemas.openxmlformats.org/officeDocument/2006/relationships/hyperlink" Target="mailto:lauren.salvador@d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folio.du.edu/downloadItem/474359" TargetMode="External"/><Relationship Id="rId11" Type="http://schemas.openxmlformats.org/officeDocument/2006/relationships/hyperlink" Target="http://portfolio.du.edu/downloadItem/467763" TargetMode="External"/><Relationship Id="rId5" Type="http://schemas.openxmlformats.org/officeDocument/2006/relationships/hyperlink" Target="http://portfolio.du.edu/GenEdReviewInquiry2017" TargetMode="External"/><Relationship Id="rId15" Type="http://schemas.openxmlformats.org/officeDocument/2006/relationships/hyperlink" Target="http://portfolio.du.edu/downloadEditorItem/2679" TargetMode="External"/><Relationship Id="rId10" Type="http://schemas.openxmlformats.org/officeDocument/2006/relationships/hyperlink" Target="http://portfolio.du.edu/downloadItem/455799" TargetMode="External"/><Relationship Id="rId19" Type="http://schemas.openxmlformats.org/officeDocument/2006/relationships/hyperlink" Target="mailto:dhesse@d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folio.du.edu/downloadItem/393155" TargetMode="External"/><Relationship Id="rId14" Type="http://schemas.openxmlformats.org/officeDocument/2006/relationships/hyperlink" Target="http://portfolio.du.edu/downloadEditorItem/41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Hesse</dc:creator>
  <cp:keywords/>
  <dc:description/>
  <cp:lastModifiedBy>Doug Hesse</cp:lastModifiedBy>
  <cp:revision>2</cp:revision>
  <dcterms:created xsi:type="dcterms:W3CDTF">2019-04-29T23:39:00Z</dcterms:created>
  <dcterms:modified xsi:type="dcterms:W3CDTF">2019-04-29T23:39:00Z</dcterms:modified>
</cp:coreProperties>
</file>